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Pr="00F46B38" w:rsidRDefault="003F49AD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>
        <w:rPr>
          <w:b/>
          <w:bCs/>
          <w:color w:val="0000FF"/>
          <w:sz w:val="24"/>
          <w:szCs w:val="24"/>
        </w:rPr>
        <w:t>14.03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FA0EC5" w:rsidRDefault="003F49AD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3F49AD" w:rsidRPr="007962AD" w:rsidRDefault="003F49AD" w:rsidP="00BC68C3">
            <w:pPr>
              <w:rPr>
                <w:color w:val="0000FF"/>
              </w:rPr>
            </w:pPr>
            <w:r>
              <w:t xml:space="preserve"> </w:t>
            </w:r>
            <w:bookmarkStart w:id="0" w:name="Check1"/>
            <w:r w:rsidRPr="007962A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FA0EC5" w:rsidRDefault="003F49AD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3F49AD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3F49A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F49AD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3F49AD" w:rsidRPr="00FA0EC5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3F49A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FA0EC5" w:rsidRDefault="003F49AD" w:rsidP="0077257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3F49AD" w:rsidRPr="00041ADC" w:rsidRDefault="003F49AD" w:rsidP="00772573">
            <w:pPr>
              <w:rPr>
                <w:b/>
                <w:bCs/>
                <w:color w:val="0000FF"/>
              </w:rPr>
            </w:pPr>
            <w:bookmarkStart w:id="4" w:name="Check5"/>
            <w:r w:rsidRPr="00041ADC">
              <w:rPr>
                <w:b/>
                <w:bCs/>
                <w:color w:val="0000FF"/>
              </w:rPr>
              <w:t>X</w:t>
            </w:r>
            <w:bookmarkEnd w:id="4"/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F49AD" w:rsidRPr="00CC50CD" w:rsidRDefault="003F49AD" w:rsidP="00D12B76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Furnizim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me veshmbathje sportive </w:t>
            </w:r>
          </w:p>
          <w:p w:rsidR="003F49AD" w:rsidRPr="00D12B76" w:rsidRDefault="003F49AD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437C7E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b/>
                <w:bCs/>
                <w:sz w:val="24"/>
                <w:szCs w:val="24"/>
              </w:rPr>
            </w:pPr>
            <w:r w:rsidRPr="00CC50CD">
              <w:rPr>
                <w:b/>
                <w:bCs/>
                <w:color w:val="0000FF"/>
                <w:sz w:val="24"/>
                <w:szCs w:val="24"/>
              </w:rPr>
              <w:t xml:space="preserve">X </w:t>
            </w: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3F49AD" w:rsidRPr="00E81777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3F49AD" w:rsidRPr="00FA0EC5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>X  Blerja</w:t>
            </w:r>
          </w:p>
          <w:bookmarkStart w:id="10" w:name="Check51"/>
          <w:p w:rsidR="003F49AD" w:rsidRPr="00D2123E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(lizing)</w:t>
            </w:r>
          </w:p>
          <w:bookmarkStart w:id="11" w:name="Check52"/>
          <w:p w:rsidR="003F49AD" w:rsidRPr="00E81777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3F49AD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3F49AD" w:rsidRPr="00745427" w:rsidRDefault="003F49A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041ADC" w:rsidRDefault="003F49AD" w:rsidP="00533027">
                  <w:pPr>
                    <w:rPr>
                      <w:b/>
                      <w:bCs/>
                      <w:color w:val="0000FF"/>
                    </w:rPr>
                  </w:pPr>
                  <w:r w:rsidRPr="00041ADC">
                    <w:rPr>
                      <w:b/>
                      <w:bCs/>
                      <w:color w:val="0000FF"/>
                    </w:rP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4" w:name="Check10"/>
              <w:tc>
                <w:tcPr>
                  <w:tcW w:w="514" w:type="dxa"/>
                  <w:vAlign w:val="center"/>
                </w:tcPr>
                <w:p w:rsidR="003F49AD" w:rsidRPr="00FA0EC5" w:rsidRDefault="003F49AD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5" w:name="Check11"/>
              <w:tc>
                <w:tcPr>
                  <w:tcW w:w="794" w:type="dxa"/>
                  <w:vAlign w:val="center"/>
                </w:tcPr>
                <w:p w:rsidR="003F49AD" w:rsidRPr="00FA0EC5" w:rsidRDefault="003F49A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vAlign w:val="center"/>
                </w:tcPr>
                <w:p w:rsidR="003F49AD" w:rsidRPr="00FA0EC5" w:rsidRDefault="003F49AD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3"/>
                <w:p w:rsidR="003F49AD" w:rsidRPr="00FA0EC5" w:rsidRDefault="003F49AD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4"/>
                <w:p w:rsidR="003F49AD" w:rsidRPr="00FA0EC5" w:rsidRDefault="003F49AD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5"/>
                <w:p w:rsidR="003F49AD" w:rsidRPr="00FA0EC5" w:rsidRDefault="003F49AD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6"/>
                <w:p w:rsidR="003F49AD" w:rsidRPr="00FA0EC5" w:rsidRDefault="003F49AD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CC50CD" w:rsidRDefault="003F49AD" w:rsidP="00781ED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Furnizim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me veshmbathje sportive </w:t>
            </w:r>
          </w:p>
          <w:p w:rsidR="003F49AD" w:rsidRPr="00CC50CD" w:rsidRDefault="003F49AD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3F49AD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17</w:t>
            </w:r>
            <w:r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2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7"/>
              <w:tc>
                <w:tcPr>
                  <w:tcW w:w="794" w:type="dxa"/>
                  <w:vAlign w:val="center"/>
                </w:tcPr>
                <w:p w:rsidR="003F49AD" w:rsidRPr="00FA0EC5" w:rsidRDefault="003F49AD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2" w:name="Check18"/>
              <w:tc>
                <w:tcPr>
                  <w:tcW w:w="514" w:type="dxa"/>
                  <w:vAlign w:val="center"/>
                </w:tcPr>
                <w:p w:rsidR="003F49AD" w:rsidRPr="007962AD" w:rsidRDefault="003F49AD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2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9"/>
              <w:tc>
                <w:tcPr>
                  <w:tcW w:w="794" w:type="dxa"/>
                  <w:vAlign w:val="center"/>
                </w:tcPr>
                <w:p w:rsidR="003F49AD" w:rsidRPr="00FA0EC5" w:rsidRDefault="003F49AD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7962AD" w:rsidRDefault="003F49AD" w:rsidP="00983E5A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962AD">
              <w:rPr>
                <w:color w:val="0000FF"/>
                <w:sz w:val="24"/>
                <w:szCs w:val="24"/>
              </w:rPr>
            </w:r>
            <w:r w:rsidRPr="007962AD"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vetëm një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sz w:val="24"/>
                <w:szCs w:val="24"/>
              </w:rPr>
              <w:t xml:space="preserve">  një a ma shumë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5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5"/>
            <w:r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F49AD" w:rsidRPr="00CC50CD" w:rsidRDefault="003F49AD" w:rsidP="00781ED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Furnizim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me veshmbathje sportive 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>12 muaj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në afat prej </w:t>
            </w:r>
            <w:r>
              <w:rPr>
                <w:color w:val="0000FF"/>
                <w:sz w:val="24"/>
                <w:szCs w:val="24"/>
              </w:rPr>
              <w:t>12 muaj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FA0EC5" w:rsidRDefault="003F49AD" w:rsidP="000A2C07">
                  <w: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5"/>
              <w:tc>
                <w:tcPr>
                  <w:tcW w:w="514" w:type="dxa"/>
                  <w:vAlign w:val="center"/>
                </w:tcPr>
                <w:p w:rsidR="003F49AD" w:rsidRPr="00FA0EC5" w:rsidRDefault="003F49AD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1,500.00</w:t>
            </w:r>
            <w:r w:rsidRPr="0058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:rsidR="003F49AD" w:rsidRPr="00FA0EC5" w:rsidRDefault="003F49AD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7"/>
              <w:tc>
                <w:tcPr>
                  <w:tcW w:w="514" w:type="dxa"/>
                  <w:vAlign w:val="center"/>
                </w:tcPr>
                <w:p w:rsidR="003F49AD" w:rsidRPr="00FA0EC5" w:rsidRDefault="003F49AD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Pr="00F46B38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</w:p>
          <w:p w:rsidR="003F49AD" w:rsidRPr="00FA0EC5" w:rsidRDefault="003F49AD" w:rsidP="00DD3415">
            <w:pPr>
              <w:pStyle w:val="ListParagraph"/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Rexhistrimi ne regjistrin profesional te MTI-së – Çertifikata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Kopje te regjistrimit te biznesit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Pr="00DE1AFD" w:rsidRDefault="003F49AD" w:rsidP="00781EDD">
            <w:pP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1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 per tri vitet e fundit, min. 50,000.00 € (pesdhjet mijë euro);</w:t>
            </w:r>
          </w:p>
          <w:p w:rsidR="003F49AD" w:rsidRPr="00781EDD" w:rsidRDefault="003F49AD" w:rsidP="002003A1">
            <w:pPr>
              <w:rPr>
                <w:b/>
                <w:bCs/>
                <w:sz w:val="24"/>
                <w:szCs w:val="24"/>
                <w:lang w:val="da-DK"/>
              </w:rPr>
            </w:pPr>
          </w:p>
          <w:p w:rsidR="003F49AD" w:rsidRPr="00781EDD" w:rsidRDefault="003F49AD" w:rsidP="00781EDD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 xml:space="preserve">Referenca për furnizime të ngjashme minimum 2 për furnizime 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  <w:p w:rsidR="003F49AD" w:rsidRPr="00781EDD" w:rsidRDefault="003F49AD" w:rsidP="00720A4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781EDD" w:rsidRDefault="003F49AD" w:rsidP="00781EDD">
            <w:pPr>
              <w:ind w:left="360"/>
              <w:rPr>
                <w:color w:val="0000FF"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1 Kopjet e kontratave, ose referencave që dëshmojnë realizimin e tyre.</w:t>
            </w: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2. Raporti financiar nga një bankë e licencuar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3F49AD" w:rsidRPr="00781ED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Book Antiqua"/>
                <w:color w:val="0000FF"/>
                <w:lang w:val="it-IT"/>
              </w:rPr>
              <w:t xml:space="preserve">     1. </w:t>
            </w:r>
            <w:r w:rsidRPr="00781EDD">
              <w:rPr>
                <w:rFonts w:ascii="Book Antiqua" w:hAnsi="Book Antiqua" w:cs="Book Antiqua"/>
                <w:color w:val="0000FF"/>
                <w:sz w:val="24"/>
                <w:szCs w:val="24"/>
                <w:lang w:val="it-IT"/>
              </w:rPr>
              <w:t>Deshmi mbi plotesimin e standardit “ISO 9001</w:t>
            </w:r>
          </w:p>
          <w:p w:rsidR="003F49A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  <w:r w:rsidRPr="00316611">
              <w:rPr>
                <w:color w:val="0000FF"/>
                <w:sz w:val="24"/>
                <w:szCs w:val="24"/>
              </w:rPr>
              <w:t>Certifikatë që dëshmon se malli i ofruar është me certifikatë ISO 9001</w:t>
            </w: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C25810" w:rsidRDefault="003F49AD" w:rsidP="00316611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r w:rsidRPr="00C25810">
              <w:rPr>
                <w:rFonts w:ascii="Book Antiqua" w:hAnsi="Book Antiqua" w:cs="Book Antiqua"/>
                <w:b/>
                <w:bCs/>
                <w:color w:val="0000FF"/>
              </w:rPr>
              <w:t>2.</w:t>
            </w:r>
            <w:r w:rsidRPr="00C25810">
              <w:rPr>
                <w:b/>
                <w:bCs/>
                <w:color w:val="0000FF"/>
                <w:sz w:val="22"/>
                <w:szCs w:val="22"/>
              </w:rPr>
              <w:t>Kopjen më të re të Korporatës Energjetike të Kosovës (KEK), apo kopjen e “kartelës nga KEK-ut që dëshmon se kompania nuk ësht</w:t>
            </w:r>
            <w:r w:rsidRPr="00C25810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C25810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C25810">
              <w:rPr>
                <w:b/>
                <w:bCs/>
                <w:sz w:val="22"/>
                <w:szCs w:val="22"/>
              </w:rPr>
              <w:t xml:space="preserve"> </w:t>
            </w:r>
            <w:r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(</w:t>
            </w:r>
            <w:r w:rsidRPr="00C25810"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  <w:t>për kompanitë vendore,për kompaninë fituese)</w:t>
            </w:r>
          </w:p>
          <w:p w:rsidR="003F49AD" w:rsidRPr="0059386A" w:rsidRDefault="003F49AD" w:rsidP="00316611">
            <w:pPr>
              <w:rPr>
                <w:b/>
                <w:bCs/>
                <w:color w:val="0000FF"/>
              </w:rPr>
            </w:pPr>
            <w:r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 xml:space="preserve">3. </w:t>
            </w:r>
            <w:r w:rsidRPr="00C25810">
              <w:rPr>
                <w:b/>
                <w:bCs/>
                <w:color w:val="0000FF"/>
                <w:sz w:val="22"/>
                <w:szCs w:val="22"/>
                <w:lang w:val="da-DK"/>
              </w:rPr>
              <w:t xml:space="preserve">Një Vërtetim nga Gjykata Ekonomike se Kompania nuk ka ndonjë kontest gjygjësor ose ekonomik.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59386A">
              <w:rPr>
                <w:i/>
                <w:iCs/>
                <w:color w:val="0000FF"/>
                <w:sz w:val="22"/>
                <w:szCs w:val="22"/>
              </w:rPr>
              <w:t>për kompaninë fituese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).</w:t>
            </w: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316611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FA0EC5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960FE8">
              <w:rPr>
                <w:sz w:val="24"/>
                <w:szCs w:val="24"/>
              </w:rPr>
              <w:t xml:space="preserve">     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8"/>
              <w:tc>
                <w:tcPr>
                  <w:tcW w:w="840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9"/>
              <w:tc>
                <w:tcPr>
                  <w:tcW w:w="544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0"/>
              <w:tc>
                <w:tcPr>
                  <w:tcW w:w="794" w:type="dxa"/>
                  <w:vAlign w:val="center"/>
                </w:tcPr>
                <w:p w:rsidR="003F49AD" w:rsidRPr="00FA0EC5" w:rsidRDefault="003F49AD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1"/>
              <w:tc>
                <w:tcPr>
                  <w:tcW w:w="514" w:type="dxa"/>
                  <w:vAlign w:val="center"/>
                </w:tcPr>
                <w:p w:rsidR="003F49AD" w:rsidRPr="00FA0EC5" w:rsidRDefault="003F49A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3F49AD" w:rsidP="00007A70">
            <w:pPr>
              <w:rPr>
                <w:b/>
                <w:bCs/>
                <w:sz w:val="24"/>
                <w:szCs w:val="24"/>
              </w:rPr>
            </w:pPr>
            <w:r w:rsidRPr="00F46B38">
              <w:rPr>
                <w:b/>
                <w:bCs/>
                <w:color w:val="0000FF"/>
                <w:sz w:val="24"/>
                <w:szCs w:val="24"/>
              </w:rPr>
              <w:t xml:space="preserve">X  </w:t>
            </w:r>
            <w:r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3F49AD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4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3F49AD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  <w:r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5"/>
              <w:tc>
                <w:tcPr>
                  <w:tcW w:w="794" w:type="dxa"/>
                  <w:vAlign w:val="center"/>
                </w:tcPr>
                <w:p w:rsidR="003F49AD" w:rsidRPr="00FA0EC5" w:rsidRDefault="003F49AD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6"/>
              <w:tc>
                <w:tcPr>
                  <w:tcW w:w="514" w:type="dxa"/>
                  <w:vAlign w:val="center"/>
                </w:tcPr>
                <w:p w:rsidR="003F49AD" w:rsidRPr="00FA0EC5" w:rsidRDefault="003F49AD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FA0EC5" w:rsidRDefault="003F49AD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F46B38">
              <w:rPr>
                <w:b/>
                <w:bCs/>
                <w:color w:val="0000FF"/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vAlign w:val="center"/>
                </w:tcPr>
                <w:p w:rsidR="003F49AD" w:rsidRPr="00FA0EC5" w:rsidRDefault="003F49AD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FA0EC5" w:rsidRDefault="003F49AD" w:rsidP="00B4347F">
                  <w:r>
                    <w:t>X</w:t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29.03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vAlign w:val="center"/>
                </w:tcPr>
                <w:p w:rsidR="003F49AD" w:rsidRPr="00FA0EC5" w:rsidRDefault="003F49AD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3F49AD" w:rsidP="00E54914">
                  <w:pPr>
                    <w:rPr>
                      <w:b/>
                      <w:bCs/>
                      <w:color w:val="0000FF"/>
                    </w:rPr>
                  </w:pPr>
                  <w:r w:rsidRPr="00DD3415">
                    <w:rPr>
                      <w:b/>
                      <w:bCs/>
                      <w:color w:val="0000FF"/>
                    </w:rPr>
                    <w:t>X</w:t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3F49AD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03.04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9" w:name="Check43"/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po</w:t>
            </w:r>
            <w:r w:rsidRPr="00FA0EC5">
              <w:rPr>
                <w:sz w:val="24"/>
                <w:szCs w:val="24"/>
              </w:rPr>
              <w:t xml:space="preserve">             </w:t>
            </w:r>
            <w:r w:rsidRPr="00DD3415">
              <w:rPr>
                <w:color w:val="0000FF"/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j</w:t>
            </w:r>
            <w:r w:rsidRPr="00FA0EC5">
              <w:rPr>
                <w:sz w:val="24"/>
                <w:szCs w:val="24"/>
              </w:rPr>
              <w:t>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F49AD" w:rsidRPr="00FA0EC5" w:rsidRDefault="003F49AD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3F49AD" w:rsidRPr="00316611" w:rsidRDefault="003F49AD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3F49AD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581E26" w:rsidRDefault="003F49AD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Pr="00316611">
              <w:rPr>
                <w:b/>
                <w:bCs/>
                <w:color w:val="0000FF"/>
                <w:sz w:val="24"/>
                <w:szCs w:val="24"/>
              </w:rPr>
              <w:t>1,000.00</w:t>
            </w:r>
            <w:r>
              <w:rPr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5D25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>Deri më: d</w:t>
            </w:r>
            <w:r w:rsidRPr="00207D84">
              <w:rPr>
                <w:sz w:val="22"/>
                <w:szCs w:val="22"/>
              </w:rPr>
              <w:t xml:space="preserve">ata: </w:t>
            </w:r>
            <w:r w:rsidRPr="00207D84">
              <w:rPr>
                <w:b/>
                <w:bCs/>
                <w:color w:val="0000FF"/>
                <w:sz w:val="22"/>
                <w:szCs w:val="22"/>
              </w:rPr>
              <w:t>03.06.2012</w:t>
            </w:r>
            <w:r w:rsidRPr="00207D84">
              <w:rPr>
                <w:b/>
                <w:bCs/>
                <w:sz w:val="22"/>
                <w:szCs w:val="22"/>
              </w:rPr>
              <w:t xml:space="preserve">   </w:t>
            </w:r>
            <w:r w:rsidRPr="00207D84">
              <w:rPr>
                <w:sz w:val="24"/>
                <w:szCs w:val="24"/>
              </w:rPr>
              <w:t xml:space="preserve">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207D8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03.04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581E26" w:rsidRDefault="003F49AD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/>
    <w:p w:rsidR="003F49AD" w:rsidRPr="00FA0EC5" w:rsidRDefault="003F49AD" w:rsidP="00AC04EB">
      <w:r w:rsidRPr="00FA0EC5">
        <w:t xml:space="preserve"> </w:t>
      </w:r>
    </w:p>
    <w:p w:rsidR="003F49AD" w:rsidRPr="00FA0EC5" w:rsidRDefault="003F49AD" w:rsidP="00AC04EB"/>
    <w:sectPr w:rsidR="003F49AD" w:rsidRPr="00FA0EC5" w:rsidSect="007962AD">
      <w:headerReference w:type="default" r:id="rId9"/>
      <w:footerReference w:type="default" r:id="rId10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AD" w:rsidRDefault="003F49AD">
      <w:r>
        <w:separator/>
      </w:r>
    </w:p>
  </w:endnote>
  <w:endnote w:type="continuationSeparator" w:id="1">
    <w:p w:rsidR="003F49AD" w:rsidRDefault="003F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AD" w:rsidRDefault="003F49A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49AD" w:rsidRPr="00AB38F6" w:rsidRDefault="003F49A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F49AD" w:rsidRPr="00AB38F6" w:rsidRDefault="003F49A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AD" w:rsidRDefault="003F49AD">
      <w:r>
        <w:separator/>
      </w:r>
    </w:p>
  </w:footnote>
  <w:footnote w:type="continuationSeparator" w:id="1">
    <w:p w:rsidR="003F49AD" w:rsidRDefault="003F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AD" w:rsidRDefault="003F49AD">
    <w:pPr>
      <w:tabs>
        <w:tab w:val="center" w:pos="4320"/>
        <w:tab w:val="right" w:pos="8640"/>
      </w:tabs>
      <w:rPr>
        <w:kern w:val="0"/>
      </w:rPr>
    </w:pPr>
  </w:p>
  <w:p w:rsidR="003F49AD" w:rsidRDefault="003F49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5F3A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919BD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C7E"/>
    <w:rsid w:val="0044001A"/>
    <w:rsid w:val="00443A34"/>
    <w:rsid w:val="0045345E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C7F1C"/>
    <w:rsid w:val="004D0401"/>
    <w:rsid w:val="004D099C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A12EB"/>
    <w:rsid w:val="006B3282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6400"/>
    <w:rsid w:val="008A7F47"/>
    <w:rsid w:val="008B0052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1524</Words>
  <Characters>8687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qkspezh</cp:lastModifiedBy>
  <cp:revision>3</cp:revision>
  <cp:lastPrinted>2012-02-03T13:17:00Z</cp:lastPrinted>
  <dcterms:created xsi:type="dcterms:W3CDTF">2012-03-14T08:37:00Z</dcterms:created>
  <dcterms:modified xsi:type="dcterms:W3CDTF">2012-03-14T09:43:00Z</dcterms:modified>
</cp:coreProperties>
</file>