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C86EFB">
        <w:rPr>
          <w:b/>
          <w:bCs/>
          <w:color w:val="3333FF"/>
          <w:sz w:val="24"/>
          <w:szCs w:val="24"/>
        </w:rPr>
        <w:t>22</w:t>
      </w:r>
      <w:r w:rsidR="00C00CF6">
        <w:rPr>
          <w:b/>
          <w:bCs/>
          <w:color w:val="3333FF"/>
          <w:sz w:val="24"/>
          <w:szCs w:val="24"/>
        </w:rPr>
        <w:t>.06.2017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01A82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0400E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</w:t>
            </w:r>
            <w:r w:rsidR="00C00CF6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izim </w:t>
            </w:r>
            <w:r w:rsidR="00101A8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me material elektrk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D1B1B" w:rsidRPr="008A6AF9" w:rsidRDefault="002D1B1B" w:rsidP="002D1B1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 me </w:t>
            </w:r>
            <w:r w:rsidR="00101A8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material elektrik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50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101A82">
              <w:rPr>
                <w:b/>
                <w:bCs/>
                <w:color w:val="3333FF"/>
                <w:sz w:val="24"/>
                <w:szCs w:val="24"/>
              </w:rPr>
              <w:t>3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,000.00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4379AC" w:rsidRPr="00EF3329" w:rsidRDefault="004379AC" w:rsidP="004379AC">
            <w:pPr>
              <w:rPr>
                <w:b/>
              </w:rPr>
            </w:pPr>
            <w:r>
              <w:t xml:space="preserve">            </w:t>
            </w:r>
            <w:r w:rsidRPr="00EF3329">
              <w:rPr>
                <w:b/>
              </w:rPr>
              <w:t xml:space="preserve">Specifikat teknike </w:t>
            </w:r>
          </w:p>
          <w:p w:rsidR="003D68E9" w:rsidRDefault="003D68E9" w:rsidP="003D68E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2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"/>
              <w:gridCol w:w="5322"/>
              <w:gridCol w:w="1870"/>
              <w:gridCol w:w="1583"/>
            </w:tblGrid>
            <w:tr w:rsidR="000E5241" w:rsidRPr="000E5241" w:rsidTr="002E1044">
              <w:trPr>
                <w:trHeight w:val="356"/>
              </w:trPr>
              <w:tc>
                <w:tcPr>
                  <w:tcW w:w="365" w:type="pct"/>
                  <w:shd w:val="clear" w:color="auto" w:fill="F2F2F2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  <w:t>Nr.</w:t>
                  </w:r>
                </w:p>
              </w:tc>
              <w:tc>
                <w:tcPr>
                  <w:tcW w:w="2811" w:type="pct"/>
                  <w:shd w:val="clear" w:color="auto" w:fill="F2F2F2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  <w:t>Emërtimi i materialit</w:t>
                  </w:r>
                </w:p>
              </w:tc>
              <w:tc>
                <w:tcPr>
                  <w:tcW w:w="988" w:type="pct"/>
                  <w:shd w:val="clear" w:color="auto" w:fill="F2F2F2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  <w:t>Nj. matëse</w:t>
                  </w:r>
                </w:p>
              </w:tc>
              <w:tc>
                <w:tcPr>
                  <w:tcW w:w="836" w:type="pct"/>
                  <w:shd w:val="clear" w:color="auto" w:fill="F2F2F2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4"/>
                      <w:szCs w:val="24"/>
                      <w:lang w:eastAsia="sr-Latn-CS"/>
                    </w:rPr>
                    <w:t>Sasia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Spina një fazore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2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Kontaktore tre fazore CNN25– 400V, 11KW, 35A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3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Kontaktore tre fazore CNN25 – 400V, 11KW, 25a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5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4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Startera – 4-22W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200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5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Indikatorë për banjo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4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6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Kabëll blinder (lidhëse) të gjata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qese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3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7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Plafonjerka Led 12 W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8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Drita ekonomike 20 W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150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9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Siguresa automatike me shpullne 20 A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10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Kallaj trashësia 1.20mm (soldex)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kg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11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Trakë izoluese (izolir)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12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Kabëll fleksibil 3X1.5mm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m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200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13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Kabëll fleksibil 3X2.5mm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m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100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14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Drita Led për shtylla elektrike 50 W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60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15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Instrument universal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2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16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Letkon Weller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1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FFFFFF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17</w:t>
                  </w:r>
                </w:p>
              </w:tc>
              <w:tc>
                <w:tcPr>
                  <w:tcW w:w="2811" w:type="pct"/>
                  <w:shd w:val="clear" w:color="auto" w:fill="FFFFFF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lang w:eastAsia="it-IT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it-IT"/>
                    </w:rPr>
                    <w:t xml:space="preserve">Shtekdozne OG njëfazore </w:t>
                  </w:r>
                </w:p>
              </w:tc>
              <w:tc>
                <w:tcPr>
                  <w:tcW w:w="988" w:type="pct"/>
                  <w:shd w:val="clear" w:color="auto" w:fill="FFFFFF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FFFFFF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40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lastRenderedPageBreak/>
                    <w:t>18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highlight w:val="yellow"/>
                      <w:lang w:eastAsia="it-IT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it-IT"/>
                    </w:rPr>
                    <w:t xml:space="preserve">Shpojëse elektrike </w:t>
                  </w:r>
                </w:p>
              </w:tc>
              <w:tc>
                <w:tcPr>
                  <w:tcW w:w="988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836" w:type="pct"/>
                  <w:shd w:val="clear" w:color="auto" w:fill="auto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1</w:t>
                  </w:r>
                </w:p>
              </w:tc>
            </w:tr>
            <w:tr w:rsidR="000E5241" w:rsidRPr="000E5241" w:rsidTr="002E1044">
              <w:trPr>
                <w:trHeight w:val="340"/>
              </w:trPr>
              <w:tc>
                <w:tcPr>
                  <w:tcW w:w="365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eastAsia="MS Mincho" w:hAnsi="Book Antiqua"/>
                      <w:b/>
                      <w:kern w:val="0"/>
                      <w:sz w:val="22"/>
                      <w:szCs w:val="22"/>
                      <w:lang w:eastAsia="sr-Latn-CS"/>
                    </w:rPr>
                    <w:t>19</w:t>
                  </w:r>
                </w:p>
              </w:tc>
              <w:tc>
                <w:tcPr>
                  <w:tcW w:w="2811" w:type="pct"/>
                  <w:shd w:val="clear" w:color="auto" w:fill="auto"/>
                  <w:vAlign w:val="bottom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/>
                      <w:kern w:val="0"/>
                      <w:sz w:val="22"/>
                      <w:szCs w:val="22"/>
                      <w:highlight w:val="yellow"/>
                      <w:lang w:eastAsia="it-IT"/>
                    </w:rPr>
                  </w:pPr>
                  <w:r w:rsidRPr="000E5241">
                    <w:rPr>
                      <w:rFonts w:ascii="Book Antiqua" w:eastAsia="MS Mincho" w:hAnsi="Book Antiqua"/>
                      <w:kern w:val="0"/>
                      <w:sz w:val="22"/>
                      <w:szCs w:val="22"/>
                      <w:lang w:eastAsia="sr-Latn-CS"/>
                    </w:rPr>
                    <w:t>Mjete për pune elektrike (kaçavida, dana, skallpera për zhveshje te kabllove, etj...)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komplete</w:t>
                  </w:r>
                </w:p>
              </w:tc>
              <w:tc>
                <w:tcPr>
                  <w:tcW w:w="836" w:type="pct"/>
                  <w:shd w:val="clear" w:color="auto" w:fill="auto"/>
                  <w:vAlign w:val="center"/>
                </w:tcPr>
                <w:p w:rsidR="000E5241" w:rsidRPr="000E5241" w:rsidRDefault="000E5241" w:rsidP="000E524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0E5241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2</w:t>
                  </w:r>
                </w:p>
              </w:tc>
            </w:tr>
          </w:tbl>
          <w:p w:rsidR="000E5241" w:rsidRPr="000E5241" w:rsidRDefault="000E5241" w:rsidP="000E524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kern w:val="0"/>
                <w:sz w:val="22"/>
                <w:szCs w:val="22"/>
                <w:lang w:eastAsia="sr-Latn-CS"/>
              </w:rPr>
            </w:pPr>
          </w:p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Pr="00FA0EC5" w:rsidRDefault="00D06097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 w:rsidRPr="002D1B1B">
              <w:rPr>
                <w:i/>
                <w:iCs/>
                <w:color w:val="3333FF"/>
                <w:sz w:val="24"/>
                <w:szCs w:val="24"/>
              </w:rPr>
              <w:t xml:space="preserve">3 (tre ) </w:t>
            </w:r>
            <w:r w:rsidRPr="002D1B1B">
              <w:rPr>
                <w:color w:val="3333FF"/>
                <w:sz w:val="22"/>
                <w:szCs w:val="22"/>
              </w:rPr>
              <w:t>(nga</w:t>
            </w:r>
            <w:r w:rsidRPr="003D68E9">
              <w:rPr>
                <w:color w:val="3333FF"/>
                <w:sz w:val="22"/>
                <w:szCs w:val="22"/>
              </w:rPr>
              <w:t xml:space="preserve">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67640E" w:rsidRDefault="00E2638E" w:rsidP="00C00CF6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</w:t>
            </w:r>
            <w:r>
              <w:rPr>
                <w:color w:val="0000FF"/>
                <w:kern w:val="0"/>
                <w:sz w:val="22"/>
                <w:szCs w:val="22"/>
                <w:lang w:eastAsia="it-IT"/>
              </w:rPr>
              <w:lastRenderedPageBreak/>
              <w:t xml:space="preserve">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Pr="001342A3" w:rsidRDefault="001342A3" w:rsidP="001342A3">
            <w:pPr>
              <w:pStyle w:val="ListParagraph"/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1342A3" w:rsidRDefault="001342A3" w:rsidP="001342A3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1342A3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1342A3">
              <w:rPr>
                <w:color w:val="FF0000"/>
                <w:kern w:val="0"/>
                <w:sz w:val="24"/>
                <w:szCs w:val="24"/>
                <w:lang w:eastAsia="it-IT"/>
              </w:rPr>
              <w:t>(Kopje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C86EFB" w:rsidRDefault="00C86EFB" w:rsidP="00C86EFB">
            <w:pPr>
              <w:numPr>
                <w:ilvl w:val="0"/>
                <w:numId w:val="17"/>
              </w:numPr>
              <w:ind w:left="108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ngjashme të këtij Njoftimi, gjatë tre viteve të fundit 2014,2015,2016 ( së paku një  referencë ) 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C86EFB" w:rsidRDefault="00C86EFB" w:rsidP="00C86EFB">
            <w:pPr>
              <w:pStyle w:val="ListParagraph"/>
              <w:ind w:left="-105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2003A1" w:rsidRPr="00C86EFB" w:rsidRDefault="00C86EFB" w:rsidP="00C86EFB">
            <w:pPr>
              <w:numPr>
                <w:ilvl w:val="0"/>
                <w:numId w:val="17"/>
              </w:numPr>
              <w:ind w:left="108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>Referenca të kryerjes së furnizimeve të ngjashme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</w:t>
            </w:r>
            <w:r w:rsidR="002F452D" w:rsidRPr="003C75EF">
              <w:rPr>
                <w:sz w:val="22"/>
                <w:szCs w:val="22"/>
              </w:rPr>
              <w:lastRenderedPageBreak/>
              <w:t>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C86EFB" w:rsidRDefault="0045701F" w:rsidP="00C86EFB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01A8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101A82">
              <w:rPr>
                <w:b/>
                <w:color w:val="3333FF"/>
                <w:sz w:val="22"/>
                <w:szCs w:val="22"/>
              </w:rPr>
              <w:t>29</w:t>
            </w:r>
            <w:r w:rsidR="00C00CF6">
              <w:rPr>
                <w:b/>
                <w:color w:val="3333FF"/>
                <w:sz w:val="22"/>
                <w:szCs w:val="22"/>
              </w:rPr>
              <w:t>.06.2017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101A8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101A82">
              <w:rPr>
                <w:b/>
                <w:color w:val="3333FF"/>
                <w:sz w:val="22"/>
                <w:szCs w:val="22"/>
              </w:rPr>
              <w:t>03.07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101A8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C00CF6">
              <w:rPr>
                <w:b/>
                <w:bCs/>
                <w:i/>
                <w:sz w:val="22"/>
                <w:szCs w:val="22"/>
              </w:rPr>
              <w:t>:</w:t>
            </w:r>
            <w:r w:rsidR="00101A82">
              <w:rPr>
                <w:b/>
                <w:color w:val="3333FF"/>
                <w:sz w:val="22"/>
                <w:szCs w:val="22"/>
              </w:rPr>
              <w:t>03.07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AC" w:rsidRDefault="00F965AC">
      <w:r>
        <w:separator/>
      </w:r>
    </w:p>
  </w:endnote>
  <w:endnote w:type="continuationSeparator" w:id="0">
    <w:p w:rsidR="00F965AC" w:rsidRDefault="00F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E2A">
      <w:rPr>
        <w:rStyle w:val="PageNumber"/>
        <w:noProof/>
      </w:rPr>
      <w:t>2</w:t>
    </w:r>
    <w:r>
      <w:rPr>
        <w:rStyle w:val="PageNumber"/>
      </w:rPr>
      <w:fldChar w:fldCharType="end"/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AC" w:rsidRDefault="00F965AC">
      <w:r>
        <w:separator/>
      </w:r>
    </w:p>
  </w:footnote>
  <w:footnote w:type="continuationSeparator" w:id="0">
    <w:p w:rsidR="00F965AC" w:rsidRDefault="00F9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>
    <w:pPr>
      <w:tabs>
        <w:tab w:val="center" w:pos="4320"/>
        <w:tab w:val="right" w:pos="8640"/>
      </w:tabs>
      <w:rPr>
        <w:kern w:val="0"/>
      </w:rPr>
    </w:pPr>
  </w:p>
  <w:p w:rsidR="00810E62" w:rsidRDefault="00810E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5241"/>
    <w:rsid w:val="000E7882"/>
    <w:rsid w:val="000E78D2"/>
    <w:rsid w:val="000F0742"/>
    <w:rsid w:val="000F3B0C"/>
    <w:rsid w:val="000F438A"/>
    <w:rsid w:val="00100F4A"/>
    <w:rsid w:val="00101A82"/>
    <w:rsid w:val="0011066A"/>
    <w:rsid w:val="00112372"/>
    <w:rsid w:val="00113C58"/>
    <w:rsid w:val="00115F91"/>
    <w:rsid w:val="00117809"/>
    <w:rsid w:val="00126063"/>
    <w:rsid w:val="001342A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C7314"/>
    <w:rsid w:val="002D1B1B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05E"/>
    <w:rsid w:val="003B622C"/>
    <w:rsid w:val="003C2B5E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7640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25D1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0CF6"/>
    <w:rsid w:val="00C02DD8"/>
    <w:rsid w:val="00C11004"/>
    <w:rsid w:val="00C11370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6EFB"/>
    <w:rsid w:val="00C95175"/>
    <w:rsid w:val="00CB2271"/>
    <w:rsid w:val="00CC0A85"/>
    <w:rsid w:val="00CE54D7"/>
    <w:rsid w:val="00CE7129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207D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0E2A"/>
    <w:rsid w:val="00F44CDF"/>
    <w:rsid w:val="00F46DFD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5924"/>
    <w:rsid w:val="00F965AC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AB65-2713-48F2-A042-2FE6422A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2017-06-23T07:46:00Z</dcterms:created>
  <dcterms:modified xsi:type="dcterms:W3CDTF">2017-06-23T07:46:00Z</dcterms:modified>
</cp:coreProperties>
</file>