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323DB1" w:rsidRPr="00323DB1" w:rsidRDefault="00323DB1" w:rsidP="00323DB1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323DB1" w:rsidRPr="00323DB1" w:rsidTr="00A849BE">
        <w:trPr>
          <w:trHeight w:val="3168"/>
        </w:trPr>
        <w:tc>
          <w:tcPr>
            <w:tcW w:w="10031" w:type="dxa"/>
            <w:vAlign w:val="center"/>
          </w:tcPr>
          <w:p w:rsidR="00323DB1" w:rsidRPr="00323DB1" w:rsidRDefault="00323DB1" w:rsidP="00323DB1">
            <w:pPr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spacing w:after="120" w:line="480" w:lineRule="auto"/>
            </w:pP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-1156335</wp:posOffset>
                  </wp:positionV>
                  <wp:extent cx="1010285" cy="1010285"/>
                  <wp:effectExtent l="0" t="0" r="0" b="0"/>
                  <wp:wrapSquare wrapText="lef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323DB1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323DB1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323DB1" w:rsidRPr="00323DB1" w:rsidRDefault="00323DB1" w:rsidP="00323DB1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323DB1">
              <w:rPr>
                <w:rFonts w:ascii="Book Antiqua" w:hAnsi="Book Antiqua" w:cs="Book Antiqua"/>
                <w:i/>
                <w:iCs/>
                <w:lang w:val="sv-SE"/>
              </w:rPr>
              <w:t>Ministria e Punëve të Brendshme-Ministarstvo Unutrašnjih Poslova-Ministry of Internal Affairs</w:t>
            </w:r>
          </w:p>
          <w:p w:rsidR="00323DB1" w:rsidRPr="00323DB1" w:rsidRDefault="00323DB1" w:rsidP="00323DB1">
            <w:pPr>
              <w:jc w:val="center"/>
            </w:pPr>
          </w:p>
          <w:p w:rsidR="00323DB1" w:rsidRPr="00323DB1" w:rsidRDefault="00323DB1" w:rsidP="00323DB1">
            <w:pPr>
              <w:ind w:left="-648"/>
              <w:jc w:val="center"/>
            </w:pPr>
            <w:r w:rsidRPr="00323DB1">
              <w:t>Akademia e Kosovës për Siguri Publike/Kosovska Akademija  za Javnu</w:t>
            </w:r>
          </w:p>
          <w:p w:rsidR="00323DB1" w:rsidRPr="00323DB1" w:rsidRDefault="00323DB1" w:rsidP="00323DB1">
            <w:pPr>
              <w:jc w:val="center"/>
              <w:rPr>
                <w:rFonts w:ascii="Book Antiqua" w:hAnsi="Book Antiqua" w:cs="Book Antiqua"/>
              </w:rPr>
            </w:pPr>
            <w:r w:rsidRPr="00323DB1">
              <w:t>Bezbednost/Kosovo Academy for Public Safety</w:t>
            </w:r>
          </w:p>
        </w:tc>
      </w:tr>
    </w:tbl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DA742E">
      <w:pPr>
        <w:jc w:val="center"/>
        <w:rPr>
          <w:b/>
          <w:i/>
          <w:iCs/>
          <w:sz w:val="24"/>
          <w:szCs w:val="24"/>
        </w:rPr>
      </w:pPr>
      <w:r w:rsidRPr="00CE532F">
        <w:rPr>
          <w:rFonts w:ascii="Arial" w:hAnsi="Arial" w:cs="Arial"/>
          <w:b/>
          <w:i/>
          <w:sz w:val="24"/>
          <w:szCs w:val="24"/>
        </w:rPr>
        <w:t>FURNIZIM</w:t>
      </w:r>
      <w:r w:rsidR="00ED6801" w:rsidRPr="00CE532F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CE532F" w:rsidRDefault="00E661A1" w:rsidP="00977E25">
      <w:pPr>
        <w:rPr>
          <w:b/>
          <w:bCs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F720D9">
        <w:rPr>
          <w:b/>
          <w:bCs/>
          <w:color w:val="0000FF"/>
          <w:sz w:val="24"/>
          <w:szCs w:val="24"/>
        </w:rPr>
        <w:t>21.04</w:t>
      </w:r>
      <w:r w:rsidR="000F6BAE">
        <w:rPr>
          <w:b/>
          <w:bCs/>
          <w:color w:val="0000FF"/>
          <w:sz w:val="24"/>
          <w:szCs w:val="24"/>
        </w:rPr>
        <w:t>.2017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CE1F6E" w:rsidP="00D10243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B27779"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F720D9" w:rsidP="000F6BAE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CE532F" w:rsidRDefault="00323DB1" w:rsidP="00D10243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t>136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685F8D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Rr.” Gj. K . Skënderbeu” p.n.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323DB1" w:rsidRPr="00323DB1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Bekim Dakaj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D10243">
              <w:rPr>
                <w:b/>
                <w:bCs/>
                <w:color w:val="0000FF"/>
                <w:sz w:val="22"/>
                <w:szCs w:val="22"/>
              </w:rPr>
              <w:t>/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590 070 –likal - 280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23DB1" w:rsidRPr="00323DB1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323DB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685F8D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DA742E" w:rsidRDefault="00323DB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151C5D" w:rsidRPr="00FA0EC5" w:rsidTr="00A849BE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A849BE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685F8D" w:rsidP="00A849BE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A849BE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323DB1" w:rsidP="00A849BE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D26418" w:rsidRDefault="00D26418" w:rsidP="00FC603D">
            <w:pPr>
              <w:rPr>
                <w:b/>
                <w:bCs/>
                <w:sz w:val="24"/>
                <w:szCs w:val="24"/>
              </w:rPr>
            </w:pPr>
          </w:p>
          <w:p w:rsidR="00D26418" w:rsidRPr="00D26418" w:rsidRDefault="001B3DF7" w:rsidP="005445FF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Cs w:val="24"/>
              </w:rPr>
              <w:t>Furnizim me matrial h</w:t>
            </w:r>
            <w:bookmarkStart w:id="5" w:name="_GoBack"/>
            <w:bookmarkEnd w:id="5"/>
            <w:r>
              <w:rPr>
                <w:rFonts w:ascii="Arial" w:hAnsi="Arial" w:cs="Arial"/>
                <w:b/>
                <w:color w:val="3333FF"/>
                <w:szCs w:val="24"/>
              </w:rPr>
              <w:t>idrosanitar</w:t>
            </w:r>
          </w:p>
          <w:p w:rsidR="00FC603D" w:rsidRPr="00DA742E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A849BE" w:rsidP="00AC6C3F">
            <w:pPr>
              <w:rPr>
                <w:b/>
                <w:bCs/>
                <w:sz w:val="24"/>
                <w:szCs w:val="24"/>
              </w:rPr>
            </w:pP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b/>
                <w:bCs/>
                <w:color w:val="0000FF"/>
                <w:sz w:val="24"/>
                <w:szCs w:val="24"/>
              </w:rPr>
            </w:r>
            <w:r w:rsidRPr="00CE532F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7"/>
            <w:r w:rsidR="00FF4118" w:rsidRPr="00CE532F">
              <w:rPr>
                <w:b/>
                <w:bCs/>
                <w:color w:val="0000FF"/>
                <w:sz w:val="24"/>
                <w:szCs w:val="24"/>
              </w:rPr>
              <w:t xml:space="preserve">        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685F8D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CE532F" w:rsidRDefault="00A849BE" w:rsidP="00E661A1">
            <w:pPr>
              <w:rPr>
                <w:color w:val="0000FF"/>
                <w:sz w:val="24"/>
                <w:szCs w:val="24"/>
              </w:rPr>
            </w:pPr>
            <w:r w:rsidRPr="00CE532F">
              <w:rPr>
                <w:color w:val="0000FF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532F">
              <w:rPr>
                <w:color w:val="0000FF"/>
                <w:sz w:val="24"/>
                <w:szCs w:val="24"/>
              </w:rPr>
              <w:instrText xml:space="preserve"> FORMCHECKBOX </w:instrText>
            </w:r>
            <w:r w:rsidRPr="00CE532F">
              <w:rPr>
                <w:color w:val="0000FF"/>
                <w:sz w:val="24"/>
                <w:szCs w:val="24"/>
              </w:rPr>
            </w:r>
            <w:r w:rsidRPr="00CE532F">
              <w:rPr>
                <w:color w:val="0000FF"/>
                <w:sz w:val="24"/>
                <w:szCs w:val="24"/>
              </w:rPr>
              <w:fldChar w:fldCharType="end"/>
            </w:r>
            <w:bookmarkEnd w:id="12"/>
            <w:r w:rsidR="00E661A1" w:rsidRPr="00CE532F">
              <w:rPr>
                <w:color w:val="0000FF"/>
                <w:sz w:val="24"/>
                <w:szCs w:val="24"/>
              </w:rPr>
              <w:t xml:space="preserve"> </w:t>
            </w:r>
            <w:r w:rsidR="00FF4118" w:rsidRPr="00CE532F">
              <w:rPr>
                <w:color w:val="0000FF"/>
                <w:sz w:val="24"/>
                <w:szCs w:val="24"/>
              </w:rPr>
              <w:t>Blerja</w:t>
            </w:r>
          </w:p>
          <w:p w:rsidR="00FF4118" w:rsidRPr="00D2123E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685F8D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530870" w:rsidP="00AC6C3F">
            <w:pPr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AKSP- Vu</w:t>
            </w:r>
            <w:r w:rsidR="00A849BE" w:rsidRPr="00CE532F">
              <w:rPr>
                <w:color w:val="0000FF"/>
                <w:sz w:val="24"/>
                <w:szCs w:val="24"/>
              </w:rPr>
              <w:t>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685F8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85F8D">
              <w:rPr>
                <w:b/>
                <w:bCs/>
                <w:sz w:val="24"/>
                <w:szCs w:val="24"/>
              </w:rPr>
            </w:r>
            <w:r w:rsidR="00685F8D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CE53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FF4118" w:rsidRPr="00DA742E" w:rsidTr="00CE532F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118" w:rsidRPr="00DA742E" w:rsidRDefault="00FF4118" w:rsidP="00CE532F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720D9" w:rsidRDefault="00F720D9" w:rsidP="00F720D9">
            <w:pPr>
              <w:rPr>
                <w:b/>
                <w:bCs/>
                <w:sz w:val="24"/>
                <w:szCs w:val="24"/>
              </w:rPr>
            </w:pPr>
          </w:p>
          <w:p w:rsidR="00F720D9" w:rsidRPr="00D26418" w:rsidRDefault="00F720D9" w:rsidP="00F720D9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FF"/>
                <w:szCs w:val="24"/>
              </w:rPr>
              <w:t>Furnizim me matrial hidrosanitar</w:t>
            </w:r>
          </w:p>
          <w:p w:rsidR="00FF4118" w:rsidRPr="00DA742E" w:rsidRDefault="00FF4118" w:rsidP="00FA07F9">
            <w:pPr>
              <w:jc w:val="center"/>
              <w:rPr>
                <w:sz w:val="24"/>
                <w:szCs w:val="24"/>
              </w:rPr>
            </w:pP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F720D9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40"/>
                <w:szCs w:val="40"/>
              </w:rPr>
              <w:t>⁭⁭</w:t>
            </w:r>
            <w:r w:rsidR="000F6BAE">
              <w:rPr>
                <w:b/>
                <w:bCs/>
                <w:color w:val="0000FF"/>
                <w:sz w:val="40"/>
                <w:szCs w:val="40"/>
              </w:rPr>
              <w:t>3</w:t>
            </w:r>
            <w:r w:rsidR="00F720D9">
              <w:rPr>
                <w:b/>
                <w:bCs/>
                <w:color w:val="0000FF"/>
                <w:sz w:val="40"/>
                <w:szCs w:val="40"/>
              </w:rPr>
              <w:t>1</w:t>
            </w:r>
            <w:r w:rsidR="00CE532F" w:rsidRPr="00CE532F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 w:rsidR="00F720D9">
              <w:rPr>
                <w:b/>
                <w:bCs/>
                <w:color w:val="0000FF"/>
                <w:sz w:val="40"/>
                <w:szCs w:val="40"/>
              </w:rPr>
              <w:t>6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A849B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685F8D" w:rsidP="00A849BE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A849BE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CE532F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E532F" w:rsidRDefault="001467C5" w:rsidP="001467C5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F720D9">
              <w:rPr>
                <w:b/>
                <w:bCs/>
                <w:color w:val="0000FF"/>
                <w:sz w:val="24"/>
                <w:szCs w:val="24"/>
              </w:rPr>
              <w:t>9,9</w:t>
            </w:r>
            <w:r w:rsidR="00805BE2">
              <w:rPr>
                <w:b/>
                <w:bCs/>
                <w:color w:val="0000FF"/>
                <w:sz w:val="24"/>
                <w:szCs w:val="24"/>
              </w:rPr>
              <w:t>00.00</w:t>
            </w:r>
            <w:r w:rsidR="00CE532F" w:rsidRPr="00FA07F9">
              <w:rPr>
                <w:b/>
                <w:bCs/>
                <w:color w:val="0000FF"/>
                <w:sz w:val="24"/>
                <w:szCs w:val="24"/>
              </w:rPr>
              <w:t xml:space="preserve"> €</w:t>
            </w:r>
          </w:p>
          <w:p w:rsidR="001467C5" w:rsidRDefault="001467C5" w:rsidP="001467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Default="0042682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Default="006732AD">
      <w:pPr>
        <w:rPr>
          <w:b/>
          <w:bCs/>
          <w:sz w:val="24"/>
          <w:szCs w:val="24"/>
        </w:rPr>
      </w:pPr>
    </w:p>
    <w:p w:rsidR="006732AD" w:rsidRPr="00DA742E" w:rsidRDefault="006732A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Default="00E661A1" w:rsidP="00AC6C3F">
      <w:pPr>
        <w:rPr>
          <w:color w:val="3333FF"/>
          <w:sz w:val="24"/>
          <w:szCs w:val="24"/>
        </w:rPr>
      </w:pPr>
      <w:r w:rsidRPr="0039780E">
        <w:rPr>
          <w:sz w:val="24"/>
          <w:szCs w:val="24"/>
        </w:rPr>
        <w:t xml:space="preserve"> </w:t>
      </w:r>
      <w:r w:rsidR="00685F8D" w:rsidRPr="0039780E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19"/>
      <w:r w:rsidR="00FF4118" w:rsidRPr="0039780E">
        <w:rPr>
          <w:sz w:val="24"/>
          <w:szCs w:val="24"/>
        </w:rPr>
        <w:t xml:space="preserve">  E hapur </w:t>
      </w:r>
      <w:r w:rsidR="00685F8D" w:rsidRPr="0039780E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0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kufizuar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51C5D"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r w:rsidR="00151C5D" w:rsidRPr="0039780E">
        <w:rPr>
          <w:sz w:val="24"/>
          <w:szCs w:val="24"/>
        </w:rPr>
        <w:t xml:space="preserve"> </w:t>
      </w:r>
      <w:r w:rsidR="00151C5D" w:rsidRPr="0039780E">
        <w:rPr>
          <w:b/>
          <w:bCs/>
          <w:sz w:val="24"/>
          <w:szCs w:val="24"/>
        </w:rPr>
        <w:t xml:space="preserve"> </w:t>
      </w:r>
      <w:r w:rsidR="00151C5D" w:rsidRPr="0039780E">
        <w:rPr>
          <w:sz w:val="24"/>
          <w:szCs w:val="24"/>
        </w:rPr>
        <w:t>Konkurruese me negociata</w:t>
      </w:r>
      <w:r w:rsidR="00FF4118" w:rsidRPr="0039780E">
        <w:rPr>
          <w:sz w:val="24"/>
          <w:szCs w:val="24"/>
        </w:rPr>
        <w:t xml:space="preserve">  </w:t>
      </w:r>
      <w:r w:rsidR="00685F8D" w:rsidRPr="0039780E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39780E">
        <w:rPr>
          <w:sz w:val="24"/>
          <w:szCs w:val="24"/>
        </w:rPr>
        <w:instrText xml:space="preserve"> FORMCHECKBOX </w:instrText>
      </w:r>
      <w:r w:rsidR="00685F8D" w:rsidRPr="0039780E">
        <w:rPr>
          <w:sz w:val="24"/>
          <w:szCs w:val="24"/>
        </w:rPr>
      </w:r>
      <w:r w:rsidR="00685F8D" w:rsidRPr="0039780E">
        <w:rPr>
          <w:sz w:val="24"/>
          <w:szCs w:val="24"/>
        </w:rPr>
        <w:fldChar w:fldCharType="end"/>
      </w:r>
      <w:bookmarkEnd w:id="21"/>
      <w:r w:rsidRPr="0039780E">
        <w:rPr>
          <w:sz w:val="24"/>
          <w:szCs w:val="24"/>
        </w:rPr>
        <w:t xml:space="preserve"> </w:t>
      </w:r>
      <w:r w:rsidR="00FF4118" w:rsidRPr="0039780E">
        <w:rPr>
          <w:b/>
          <w:bCs/>
          <w:sz w:val="24"/>
          <w:szCs w:val="24"/>
        </w:rPr>
        <w:t xml:space="preserve"> </w:t>
      </w:r>
      <w:r w:rsidR="00FF4118" w:rsidRPr="0039780E">
        <w:rPr>
          <w:sz w:val="24"/>
          <w:szCs w:val="24"/>
        </w:rPr>
        <w:t xml:space="preserve">E negociuar  </w:t>
      </w:r>
      <w:bookmarkStart w:id="22" w:name="Check22"/>
      <w:r w:rsidR="00CE532F" w:rsidRPr="00FA07F9">
        <w:rPr>
          <w:color w:val="3333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="00CE532F" w:rsidRPr="00FA07F9">
        <w:rPr>
          <w:color w:val="3333FF"/>
          <w:sz w:val="24"/>
          <w:szCs w:val="24"/>
        </w:rPr>
        <w:instrText xml:space="preserve"> FORMCHECKBOX </w:instrText>
      </w:r>
      <w:r w:rsidR="00CE532F" w:rsidRPr="00FA07F9">
        <w:rPr>
          <w:color w:val="3333FF"/>
          <w:sz w:val="24"/>
          <w:szCs w:val="24"/>
        </w:rPr>
      </w:r>
      <w:r w:rsidR="00CE532F" w:rsidRPr="00FA07F9">
        <w:rPr>
          <w:color w:val="3333FF"/>
          <w:sz w:val="24"/>
          <w:szCs w:val="24"/>
        </w:rPr>
        <w:fldChar w:fldCharType="end"/>
      </w:r>
      <w:bookmarkEnd w:id="22"/>
      <w:r w:rsidR="00FF4118" w:rsidRPr="00FA07F9">
        <w:rPr>
          <w:color w:val="3333FF"/>
          <w:sz w:val="24"/>
          <w:szCs w:val="24"/>
        </w:rPr>
        <w:t xml:space="preserve"> </w:t>
      </w:r>
      <w:r w:rsidRPr="00FA07F9">
        <w:rPr>
          <w:color w:val="3333FF"/>
          <w:sz w:val="24"/>
          <w:szCs w:val="24"/>
        </w:rPr>
        <w:t>Ç</w:t>
      </w:r>
      <w:r w:rsidR="00FF4118" w:rsidRPr="00FA07F9">
        <w:rPr>
          <w:color w:val="3333FF"/>
          <w:sz w:val="24"/>
          <w:szCs w:val="24"/>
        </w:rPr>
        <w:t>mimi i kuotimit</w:t>
      </w:r>
    </w:p>
    <w:p w:rsidR="00FA07F9" w:rsidRPr="0039780E" w:rsidRDefault="00FA07F9" w:rsidP="00AC6C3F">
      <w:pPr>
        <w:rPr>
          <w:b/>
          <w:bCs/>
          <w:sz w:val="24"/>
          <w:szCs w:val="24"/>
        </w:rPr>
      </w:pP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p w:rsidR="00796A34" w:rsidRDefault="00796A34" w:rsidP="007845E5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796A34" w:rsidRPr="00796A34" w:rsidTr="00530870">
        <w:tc>
          <w:tcPr>
            <w:tcW w:w="9639" w:type="dxa"/>
            <w:gridSpan w:val="2"/>
          </w:tcPr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color w:val="0000FF"/>
                <w:sz w:val="24"/>
                <w:szCs w:val="24"/>
              </w:rPr>
            </w:r>
            <w:r w:rsidRPr="00796A34">
              <w:rPr>
                <w:b/>
                <w:bCs/>
                <w:color w:val="0000FF"/>
                <w:sz w:val="24"/>
                <w:szCs w:val="24"/>
              </w:rPr>
              <w:fldChar w:fldCharType="end"/>
            </w:r>
            <w:bookmarkEnd w:id="23"/>
            <w:r w:rsidRPr="00796A34">
              <w:rPr>
                <w:b/>
                <w:bCs/>
                <w:sz w:val="24"/>
                <w:szCs w:val="24"/>
              </w:rPr>
              <w:t xml:space="preserve"> </w:t>
            </w:r>
            <w:r w:rsidRPr="00796A34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  <w:p w:rsidR="00796A34" w:rsidRPr="00796A34" w:rsidRDefault="00796A34" w:rsidP="00796A34">
            <w:pPr>
              <w:rPr>
                <w:i/>
                <w:iCs/>
                <w:sz w:val="24"/>
                <w:szCs w:val="24"/>
              </w:rPr>
            </w:pPr>
            <w:r w:rsidRPr="00796A34"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796A34" w:rsidRPr="00796A34" w:rsidRDefault="00796A34" w:rsidP="00796A34">
            <w:pPr>
              <w:ind w:left="360"/>
              <w:rPr>
                <w:b/>
                <w:bCs/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A34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796A34">
              <w:rPr>
                <w:b/>
                <w:bCs/>
                <w:sz w:val="24"/>
                <w:szCs w:val="24"/>
              </w:rPr>
            </w:r>
            <w:r w:rsidRPr="00796A34"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Pr="00796A34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796A34" w:rsidRPr="00796A34" w:rsidRDefault="00796A34" w:rsidP="00796A34">
            <w:pPr>
              <w:rPr>
                <w:sz w:val="24"/>
                <w:szCs w:val="24"/>
              </w:rPr>
            </w:pPr>
            <w:r w:rsidRPr="00796A34"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 w:rsidR="00796A34" w:rsidRPr="00796A34" w:rsidTr="00530870">
        <w:trPr>
          <w:trHeight w:val="45"/>
        </w:trPr>
        <w:tc>
          <w:tcPr>
            <w:tcW w:w="7560" w:type="dxa"/>
          </w:tcPr>
          <w:p w:rsidR="00796A34" w:rsidRPr="00FA07F9" w:rsidRDefault="00796A34" w:rsidP="00796A34">
            <w:pPr>
              <w:spacing w:line="360" w:lineRule="auto"/>
              <w:rPr>
                <w:sz w:val="24"/>
                <w:szCs w:val="24"/>
              </w:rPr>
            </w:pPr>
            <w:r w:rsidRPr="00FA07F9">
              <w:rPr>
                <w:sz w:val="24"/>
                <w:szCs w:val="24"/>
              </w:rPr>
              <w:t xml:space="preserve">1) </w:t>
            </w:r>
            <w:r w:rsidRPr="00FA07F9">
              <w:rPr>
                <w:bCs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796A34" w:rsidRPr="00FA07F9" w:rsidRDefault="00796A34" w:rsidP="00796A34">
            <w:pPr>
              <w:rPr>
                <w:bCs/>
                <w:sz w:val="24"/>
                <w:szCs w:val="24"/>
              </w:rPr>
            </w:pPr>
            <w:r w:rsidRPr="00FA07F9">
              <w:rPr>
                <w:bCs/>
                <w:sz w:val="24"/>
                <w:szCs w:val="24"/>
              </w:rPr>
              <w:t>100%</w:t>
            </w:r>
          </w:p>
        </w:tc>
      </w:tr>
    </w:tbl>
    <w:p w:rsidR="00796A34" w:rsidRDefault="00796A34" w:rsidP="007845E5">
      <w:pPr>
        <w:rPr>
          <w:sz w:val="24"/>
          <w:szCs w:val="24"/>
        </w:rPr>
      </w:pPr>
    </w:p>
    <w:p w:rsidR="00796A34" w:rsidRDefault="00796A34" w:rsidP="00796A34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845E5" w:rsidRPr="008A0F03" w:rsidRDefault="007845E5" w:rsidP="007845E5">
            <w:pPr>
              <w:rPr>
                <w:color w:val="0000FF"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F720D9">
              <w:rPr>
                <w:b/>
                <w:color w:val="0000FF"/>
                <w:sz w:val="24"/>
                <w:szCs w:val="24"/>
              </w:rPr>
              <w:t>07.04</w:t>
            </w:r>
            <w:r w:rsidR="00A849BE" w:rsidRPr="008A0F03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  <w:p w:rsidR="006D5B66" w:rsidRPr="00DA742E" w:rsidRDefault="007845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F720D9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A849BE">
              <w:rPr>
                <w:sz w:val="24"/>
                <w:szCs w:val="24"/>
              </w:rPr>
              <w:t xml:space="preserve"> </w:t>
            </w:r>
            <w:r w:rsidR="00F720D9">
              <w:rPr>
                <w:b/>
                <w:color w:val="0000FF"/>
                <w:sz w:val="24"/>
                <w:szCs w:val="24"/>
              </w:rPr>
              <w:t>21.04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F720D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F720D9">
              <w:rPr>
                <w:b/>
                <w:color w:val="0000FF"/>
                <w:sz w:val="24"/>
                <w:szCs w:val="24"/>
              </w:rPr>
              <w:t>04.05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.201</w:t>
            </w:r>
            <w:r w:rsidR="00B27779">
              <w:rPr>
                <w:b/>
                <w:color w:val="0000FF"/>
                <w:sz w:val="24"/>
                <w:szCs w:val="24"/>
              </w:rPr>
              <w:t>7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A849BE" w:rsidRDefault="001A0BAD" w:rsidP="00F720D9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A849BE">
              <w:rPr>
                <w:b/>
                <w:bCs/>
                <w:sz w:val="24"/>
                <w:szCs w:val="24"/>
              </w:rPr>
              <w:t xml:space="preserve">  </w:t>
            </w:r>
            <w:r w:rsidR="00F720D9">
              <w:rPr>
                <w:b/>
                <w:bCs/>
                <w:color w:val="0000FF"/>
                <w:sz w:val="24"/>
                <w:szCs w:val="24"/>
              </w:rPr>
              <w:t>1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F720D9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F720D9">
              <w:rPr>
                <w:b/>
                <w:i/>
                <w:color w:val="0000FF"/>
                <w:sz w:val="22"/>
                <w:szCs w:val="22"/>
              </w:rPr>
              <w:t>N.N. “ GLOBAL – ing “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F720D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F720D9">
              <w:rPr>
                <w:b/>
                <w:i/>
                <w:color w:val="0000FF"/>
                <w:sz w:val="22"/>
                <w:szCs w:val="22"/>
              </w:rPr>
              <w:t>Pakashticë e Poshtme - Podujev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F72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F720D9">
              <w:rPr>
                <w:b/>
                <w:color w:val="0000FF"/>
                <w:sz w:val="22"/>
                <w:szCs w:val="22"/>
              </w:rPr>
              <w:t>Podujev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2E7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Pr="00FA70FF">
              <w:rPr>
                <w:color w:val="3333FF"/>
                <w:sz w:val="22"/>
                <w:szCs w:val="22"/>
              </w:rPr>
              <w:t xml:space="preserve"> </w:t>
            </w:r>
            <w:r w:rsidR="002E72F8">
              <w:rPr>
                <w:color w:val="3333FF"/>
                <w:sz w:val="22"/>
                <w:szCs w:val="22"/>
              </w:rPr>
              <w:t>11</w:t>
            </w:r>
            <w:r w:rsidR="009551E6">
              <w:rPr>
                <w:color w:val="3333FF"/>
                <w:sz w:val="22"/>
                <w:szCs w:val="22"/>
              </w:rPr>
              <w:t>00</w:t>
            </w:r>
            <w:r w:rsidR="00A51F79">
              <w:rPr>
                <w:color w:val="3333FF"/>
                <w:sz w:val="22"/>
                <w:szCs w:val="22"/>
              </w:rPr>
              <w:t>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566929" w:rsidRPr="00E81777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A849BE" w:rsidRPr="00A849BE">
              <w:rPr>
                <w:b/>
                <w:i/>
                <w:color w:val="0000FF"/>
                <w:sz w:val="22"/>
                <w:szCs w:val="22"/>
              </w:rPr>
              <w:t>Kosovë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F720D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F720D9">
              <w:rPr>
                <w:b/>
                <w:color w:val="3333FF"/>
                <w:sz w:val="24"/>
                <w:szCs w:val="24"/>
              </w:rPr>
              <w:t>Osman Kajtazi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1A0BAD" w:rsidRPr="00A849BE" w:rsidRDefault="008523A0" w:rsidP="005867B5">
            <w:pPr>
              <w:rPr>
                <w:b/>
                <w:i/>
                <w:iCs/>
                <w:color w:val="0000FF"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F720D9">
              <w:rPr>
                <w:b/>
                <w:color w:val="0000FF"/>
                <w:sz w:val="24"/>
                <w:szCs w:val="24"/>
              </w:rPr>
              <w:t>8,995.80</w:t>
            </w:r>
            <w:r w:rsidR="00A849BE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A849BE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6F0850" w:rsidRPr="00DA742E" w:rsidRDefault="006F0850" w:rsidP="005867B5">
            <w:pPr>
              <w:rPr>
                <w:i/>
                <w:iCs/>
                <w:sz w:val="24"/>
                <w:szCs w:val="24"/>
              </w:rPr>
            </w:pPr>
          </w:p>
          <w:p w:rsidR="001A0BAD" w:rsidRPr="00DA742E" w:rsidRDefault="008523A0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285D06">
              <w:rPr>
                <w:sz w:val="24"/>
                <w:szCs w:val="24"/>
              </w:rPr>
              <w:t xml:space="preserve"> numrin e viteve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39429C">
              <w:rPr>
                <w:i/>
                <w:iCs/>
                <w:sz w:val="24"/>
                <w:szCs w:val="24"/>
              </w:rPr>
              <w:t>apo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="00285D06">
              <w:rPr>
                <w:sz w:val="24"/>
                <w:szCs w:val="24"/>
              </w:rPr>
              <w:t xml:space="preserve"> </w:t>
            </w:r>
            <w:r w:rsidR="00F720D9">
              <w:rPr>
                <w:sz w:val="24"/>
                <w:szCs w:val="24"/>
              </w:rPr>
              <w:t>3 muaj pas nënshkrimit të kontratës</w:t>
            </w:r>
            <w:r w:rsidR="00285D06">
              <w:rPr>
                <w:b/>
                <w:color w:val="3333FF"/>
                <w:sz w:val="24"/>
                <w:szCs w:val="24"/>
              </w:rPr>
              <w:t xml:space="preserve"> 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CB3EA7" w:rsidRPr="00DA742E" w:rsidRDefault="0039429C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1A0BAD" w:rsidRPr="00DA742E">
              <w:rPr>
                <w:sz w:val="24"/>
                <w:szCs w:val="24"/>
              </w:rPr>
              <w:t xml:space="preserve">: </w:t>
            </w:r>
            <w:r w:rsidR="00F720D9">
              <w:rPr>
                <w:b/>
                <w:color w:val="0000FF"/>
                <w:sz w:val="24"/>
                <w:szCs w:val="24"/>
              </w:rPr>
              <w:t>8,995.80</w:t>
            </w:r>
            <w:r w:rsidR="00FA07F9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  <w:p w:rsidR="001A0BAD" w:rsidRPr="00DA742E" w:rsidRDefault="0039429C" w:rsidP="00F72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A849BE">
              <w:rPr>
                <w:sz w:val="24"/>
                <w:szCs w:val="24"/>
              </w:rPr>
              <w:t xml:space="preserve"> </w:t>
            </w:r>
            <w:r w:rsidR="00F720D9">
              <w:rPr>
                <w:b/>
                <w:color w:val="0000FF"/>
                <w:sz w:val="24"/>
                <w:szCs w:val="24"/>
              </w:rPr>
              <w:t>8,995.80</w:t>
            </w:r>
            <w:r w:rsidR="00FA07F9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FA07F9" w:rsidRPr="00A849BE">
              <w:rPr>
                <w:b/>
                <w:color w:val="0000FF"/>
                <w:sz w:val="24"/>
                <w:szCs w:val="24"/>
              </w:rPr>
              <w:t>€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1A0BAD" w:rsidRPr="00DA742E" w:rsidRDefault="00685F8D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1A0BAD" w:rsidRPr="00DA742E" w:rsidRDefault="00A849BE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685F8D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685F8D">
              <w:rPr>
                <w:sz w:val="24"/>
                <w:szCs w:val="24"/>
              </w:rPr>
            </w:r>
            <w:r w:rsidR="00685F8D">
              <w:rPr>
                <w:sz w:val="24"/>
                <w:szCs w:val="24"/>
              </w:rPr>
              <w:fldChar w:fldCharType="end"/>
            </w:r>
            <w:bookmarkEnd w:id="27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lastRenderedPageBreak/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Pr="00D95146" w:rsidRDefault="00D7711C" w:rsidP="00020F86">
      <w:pPr>
        <w:jc w:val="both"/>
        <w:rPr>
          <w:i/>
          <w:iCs/>
          <w:sz w:val="24"/>
          <w:szCs w:val="24"/>
        </w:rPr>
      </w:pPr>
      <w:r w:rsidRPr="0039780E">
        <w:rPr>
          <w:i/>
          <w:iCs/>
          <w:sz w:val="24"/>
          <w:szCs w:val="24"/>
          <w:highlight w:val="lightGray"/>
        </w:rPr>
        <w:t>(</w:t>
      </w:r>
      <w:r w:rsidRPr="0039780E">
        <w:rPr>
          <w:b/>
          <w:i/>
          <w:iCs/>
          <w:sz w:val="24"/>
          <w:szCs w:val="24"/>
          <w:highlight w:val="lightGray"/>
        </w:rPr>
        <w:t xml:space="preserve">Në rast të marrëveshjes </w:t>
      </w:r>
      <w:r w:rsidRPr="0055668B">
        <w:rPr>
          <w:b/>
          <w:i/>
          <w:iCs/>
          <w:sz w:val="24"/>
          <w:szCs w:val="24"/>
          <w:highlight w:val="lightGray"/>
        </w:rPr>
        <w:t>kornize me disa Operatore Ekonomik</w:t>
      </w:r>
      <w:r w:rsidR="006666EF" w:rsidRPr="0055668B">
        <w:rPr>
          <w:b/>
          <w:i/>
          <w:iCs/>
          <w:sz w:val="24"/>
          <w:szCs w:val="24"/>
          <w:highlight w:val="lightGray"/>
        </w:rPr>
        <w:t>, fshije atë me larte</w:t>
      </w:r>
      <w:r w:rsidR="0039780E">
        <w:rPr>
          <w:b/>
          <w:i/>
          <w:iCs/>
          <w:sz w:val="24"/>
          <w:szCs w:val="24"/>
          <w:highlight w:val="lightGray"/>
        </w:rPr>
        <w:t xml:space="preserve"> (IV.1-IV.6)</w:t>
      </w:r>
      <w:r w:rsidR="006666EF" w:rsidRPr="0055668B">
        <w:rPr>
          <w:b/>
          <w:i/>
          <w:iCs/>
          <w:sz w:val="24"/>
          <w:szCs w:val="24"/>
          <w:highlight w:val="lightGray"/>
        </w:rPr>
        <w:t xml:space="preserve"> dhe </w:t>
      </w:r>
      <w:r w:rsidRPr="0055668B">
        <w:rPr>
          <w:i/>
          <w:iCs/>
          <w:sz w:val="24"/>
          <w:szCs w:val="24"/>
          <w:highlight w:val="lightGray"/>
        </w:rPr>
        <w:t xml:space="preserve"> </w:t>
      </w:r>
      <w:r w:rsidR="0039780E" w:rsidRPr="0039780E">
        <w:rPr>
          <w:b/>
          <w:i/>
          <w:iCs/>
          <w:sz w:val="24"/>
          <w:szCs w:val="24"/>
          <w:highlight w:val="lightGray"/>
        </w:rPr>
        <w:t>shënoj te dhënat e kërkuar ne IV.1-IV.</w:t>
      </w:r>
      <w:r w:rsidR="0039780E">
        <w:rPr>
          <w:b/>
          <w:i/>
          <w:iCs/>
          <w:sz w:val="24"/>
          <w:szCs w:val="24"/>
          <w:highlight w:val="lightGray"/>
        </w:rPr>
        <w:t>5</w:t>
      </w:r>
      <w:r w:rsidR="0039780E" w:rsidRPr="0039780E">
        <w:rPr>
          <w:b/>
          <w:i/>
          <w:iCs/>
          <w:sz w:val="24"/>
          <w:szCs w:val="24"/>
          <w:highlight w:val="lightGray"/>
        </w:rPr>
        <w:t xml:space="preserve"> me poshtë dhe </w:t>
      </w:r>
      <w:r w:rsidRPr="0039780E">
        <w:rPr>
          <w:b/>
          <w:i/>
          <w:iCs/>
          <w:sz w:val="24"/>
          <w:szCs w:val="24"/>
          <w:highlight w:val="lightGray"/>
        </w:rPr>
        <w:t>përsërit IV.4</w:t>
      </w:r>
      <w:r w:rsidRPr="0055668B">
        <w:rPr>
          <w:i/>
          <w:iCs/>
          <w:sz w:val="24"/>
          <w:szCs w:val="24"/>
          <w:highlight w:val="lightGray"/>
        </w:rPr>
        <w:t xml:space="preserve"> për </w:t>
      </w:r>
      <w:r w:rsidR="00020F86" w:rsidRPr="0055668B">
        <w:rPr>
          <w:i/>
          <w:iCs/>
          <w:sz w:val="24"/>
          <w:szCs w:val="24"/>
          <w:highlight w:val="lightGray"/>
        </w:rPr>
        <w:t xml:space="preserve">secilin </w:t>
      </w:r>
      <w:r w:rsidRPr="0055668B">
        <w:rPr>
          <w:i/>
          <w:iCs/>
          <w:sz w:val="24"/>
          <w:szCs w:val="24"/>
          <w:highlight w:val="lightGray"/>
        </w:rPr>
        <w:t>Operatore Ekonomik pale i marrëveshjes kornize</w:t>
      </w:r>
      <w:r w:rsidR="00020F86" w:rsidRPr="0055668B">
        <w:rPr>
          <w:i/>
          <w:iCs/>
          <w:sz w:val="24"/>
          <w:szCs w:val="24"/>
          <w:highlight w:val="lightGray"/>
        </w:rPr>
        <w:t xml:space="preserve">. Nëse nuk është marrëveshje kornize me disa Operatore Ekonomik </w:t>
      </w:r>
      <w:r w:rsidR="00020F86" w:rsidRPr="0039780E">
        <w:rPr>
          <w:i/>
          <w:iCs/>
          <w:sz w:val="24"/>
          <w:szCs w:val="24"/>
          <w:highlight w:val="lightGray"/>
        </w:rPr>
        <w:t>fshije</w:t>
      </w:r>
      <w:r w:rsidR="0039780E" w:rsidRPr="0039780E">
        <w:rPr>
          <w:i/>
          <w:iCs/>
          <w:sz w:val="24"/>
          <w:szCs w:val="24"/>
          <w:highlight w:val="lightGray"/>
        </w:rPr>
        <w:t xml:space="preserve"> </w:t>
      </w:r>
      <w:r w:rsidR="0039780E">
        <w:rPr>
          <w:i/>
          <w:iCs/>
          <w:sz w:val="24"/>
          <w:szCs w:val="24"/>
          <w:highlight w:val="lightGray"/>
        </w:rPr>
        <w:t xml:space="preserve">ketë me poshtë </w:t>
      </w:r>
      <w:r w:rsidR="0039780E" w:rsidRPr="0039780E">
        <w:rPr>
          <w:i/>
          <w:iCs/>
          <w:sz w:val="24"/>
          <w:szCs w:val="24"/>
          <w:highlight w:val="lightGray"/>
        </w:rPr>
        <w:t>(IV.1-IV.</w:t>
      </w:r>
      <w:r w:rsidR="0039780E">
        <w:rPr>
          <w:i/>
          <w:iCs/>
          <w:sz w:val="24"/>
          <w:szCs w:val="24"/>
          <w:highlight w:val="lightGray"/>
        </w:rPr>
        <w:t>5</w:t>
      </w:r>
      <w:r w:rsidR="0039780E" w:rsidRPr="0039780E">
        <w:rPr>
          <w:i/>
          <w:iCs/>
          <w:sz w:val="24"/>
          <w:szCs w:val="24"/>
          <w:highlight w:val="lightGray"/>
        </w:rPr>
        <w:t>)</w:t>
      </w: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8F38C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EE047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8F38C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D7711C" w:rsidRPr="00DA742E" w:rsidTr="00020F86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1C" w:rsidRPr="00DA742E" w:rsidRDefault="00D7711C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876A79">
              <w:rPr>
                <w:b/>
                <w:i/>
                <w:color w:val="0000FF"/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437C7E" w:rsidRDefault="00D7711C" w:rsidP="00EE0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7711C" w:rsidRPr="00DA742E" w:rsidTr="00020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7711C" w:rsidRPr="00DA742E" w:rsidRDefault="00D7711C" w:rsidP="00A84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1C" w:rsidRPr="00DA742E" w:rsidRDefault="00D7711C" w:rsidP="00A849B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  <w:tr w:rsidR="00020F86" w:rsidRPr="00DA742E" w:rsidTr="00020F86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20F86" w:rsidRPr="00DA742E" w:rsidTr="00A849B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20F86" w:rsidRPr="00DA742E" w:rsidRDefault="00685F8D" w:rsidP="00A849B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20F86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20F86" w:rsidRPr="00DA742E" w:rsidRDefault="00020F86" w:rsidP="00A849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20F86" w:rsidRPr="00DA742E" w:rsidRDefault="00562186" w:rsidP="00A849B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20F86" w:rsidRPr="00DA742E" w:rsidRDefault="00020F86" w:rsidP="00A849B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75" w:rsidRDefault="00F91375">
      <w:r>
        <w:separator/>
      </w:r>
    </w:p>
  </w:endnote>
  <w:endnote w:type="continuationSeparator" w:id="0">
    <w:p w:rsidR="00F91375" w:rsidRDefault="00F9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6A" w:rsidRDefault="001C7B6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DF7">
      <w:rPr>
        <w:rStyle w:val="PageNumber"/>
        <w:noProof/>
      </w:rPr>
      <w:t>2</w:t>
    </w:r>
    <w:r>
      <w:rPr>
        <w:rStyle w:val="PageNumber"/>
      </w:rPr>
      <w:fldChar w:fldCharType="end"/>
    </w:r>
  </w:p>
  <w:p w:rsidR="001C7B6A" w:rsidRPr="00B6771D" w:rsidRDefault="001C7B6A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75" w:rsidRDefault="00F91375">
      <w:r>
        <w:separator/>
      </w:r>
    </w:p>
  </w:footnote>
  <w:footnote w:type="continuationSeparator" w:id="0">
    <w:p w:rsidR="00F91375" w:rsidRDefault="00F91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6A" w:rsidRDefault="001C7B6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64F"/>
    <w:rsid w:val="00003A8C"/>
    <w:rsid w:val="00020F86"/>
    <w:rsid w:val="0002651F"/>
    <w:rsid w:val="00040E6C"/>
    <w:rsid w:val="0004349B"/>
    <w:rsid w:val="00050391"/>
    <w:rsid w:val="00067135"/>
    <w:rsid w:val="00070FA8"/>
    <w:rsid w:val="000A2C07"/>
    <w:rsid w:val="000B7B5E"/>
    <w:rsid w:val="000C0406"/>
    <w:rsid w:val="000E7882"/>
    <w:rsid w:val="000E78D2"/>
    <w:rsid w:val="000F0742"/>
    <w:rsid w:val="000F3B0C"/>
    <w:rsid w:val="000F438A"/>
    <w:rsid w:val="000F6BAE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608A6"/>
    <w:rsid w:val="001724C4"/>
    <w:rsid w:val="001857D7"/>
    <w:rsid w:val="001A0BAD"/>
    <w:rsid w:val="001A4E98"/>
    <w:rsid w:val="001A6E90"/>
    <w:rsid w:val="001A6FAB"/>
    <w:rsid w:val="001B3DF7"/>
    <w:rsid w:val="001C57C3"/>
    <w:rsid w:val="001C7B6A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5D06"/>
    <w:rsid w:val="00287E44"/>
    <w:rsid w:val="0029449B"/>
    <w:rsid w:val="002A03C5"/>
    <w:rsid w:val="002A3BA2"/>
    <w:rsid w:val="002B2DFF"/>
    <w:rsid w:val="002B4F18"/>
    <w:rsid w:val="002C7314"/>
    <w:rsid w:val="002D641F"/>
    <w:rsid w:val="002E2A03"/>
    <w:rsid w:val="002E305F"/>
    <w:rsid w:val="002E682F"/>
    <w:rsid w:val="002E72F8"/>
    <w:rsid w:val="002F4466"/>
    <w:rsid w:val="002F7E6D"/>
    <w:rsid w:val="00310A8D"/>
    <w:rsid w:val="00311094"/>
    <w:rsid w:val="003147FA"/>
    <w:rsid w:val="00316AC4"/>
    <w:rsid w:val="00316D48"/>
    <w:rsid w:val="00316FD9"/>
    <w:rsid w:val="00323DB1"/>
    <w:rsid w:val="003255D4"/>
    <w:rsid w:val="00333998"/>
    <w:rsid w:val="00336F04"/>
    <w:rsid w:val="00344FCE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5C3C"/>
    <w:rsid w:val="004762C3"/>
    <w:rsid w:val="00492000"/>
    <w:rsid w:val="004952FE"/>
    <w:rsid w:val="004A2DFC"/>
    <w:rsid w:val="004A4575"/>
    <w:rsid w:val="004A4E27"/>
    <w:rsid w:val="004C7A55"/>
    <w:rsid w:val="004D0401"/>
    <w:rsid w:val="004D23C7"/>
    <w:rsid w:val="004D61EB"/>
    <w:rsid w:val="004D6E1E"/>
    <w:rsid w:val="004E55C6"/>
    <w:rsid w:val="004E5C12"/>
    <w:rsid w:val="004E5CD8"/>
    <w:rsid w:val="00504338"/>
    <w:rsid w:val="00504875"/>
    <w:rsid w:val="0050757C"/>
    <w:rsid w:val="0051434F"/>
    <w:rsid w:val="00526E4D"/>
    <w:rsid w:val="00527F4E"/>
    <w:rsid w:val="00530870"/>
    <w:rsid w:val="005312F2"/>
    <w:rsid w:val="00532387"/>
    <w:rsid w:val="00533027"/>
    <w:rsid w:val="0053625D"/>
    <w:rsid w:val="00541722"/>
    <w:rsid w:val="005445FF"/>
    <w:rsid w:val="005455B0"/>
    <w:rsid w:val="005524C5"/>
    <w:rsid w:val="0055668B"/>
    <w:rsid w:val="00562186"/>
    <w:rsid w:val="00562630"/>
    <w:rsid w:val="0056468B"/>
    <w:rsid w:val="00566929"/>
    <w:rsid w:val="00574537"/>
    <w:rsid w:val="005766B6"/>
    <w:rsid w:val="0058131A"/>
    <w:rsid w:val="005867B5"/>
    <w:rsid w:val="00586C1E"/>
    <w:rsid w:val="00592FD2"/>
    <w:rsid w:val="005945D2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4384"/>
    <w:rsid w:val="00665783"/>
    <w:rsid w:val="006666EF"/>
    <w:rsid w:val="0067064F"/>
    <w:rsid w:val="006732AD"/>
    <w:rsid w:val="00674CBE"/>
    <w:rsid w:val="00685F8D"/>
    <w:rsid w:val="0068736C"/>
    <w:rsid w:val="0069133D"/>
    <w:rsid w:val="006B3282"/>
    <w:rsid w:val="006C1E67"/>
    <w:rsid w:val="006C6893"/>
    <w:rsid w:val="006D075F"/>
    <w:rsid w:val="006D5B66"/>
    <w:rsid w:val="006D6109"/>
    <w:rsid w:val="006E0CEE"/>
    <w:rsid w:val="006E4C79"/>
    <w:rsid w:val="006E6ECE"/>
    <w:rsid w:val="006E7F50"/>
    <w:rsid w:val="006F0850"/>
    <w:rsid w:val="007134D2"/>
    <w:rsid w:val="00716BC0"/>
    <w:rsid w:val="0072501D"/>
    <w:rsid w:val="0073235A"/>
    <w:rsid w:val="00733932"/>
    <w:rsid w:val="00746257"/>
    <w:rsid w:val="00754179"/>
    <w:rsid w:val="00772573"/>
    <w:rsid w:val="007748E1"/>
    <w:rsid w:val="007845E5"/>
    <w:rsid w:val="0079103A"/>
    <w:rsid w:val="00791B90"/>
    <w:rsid w:val="00792318"/>
    <w:rsid w:val="007969C8"/>
    <w:rsid w:val="00796A34"/>
    <w:rsid w:val="007B03D9"/>
    <w:rsid w:val="007B658C"/>
    <w:rsid w:val="007B72E8"/>
    <w:rsid w:val="007C28E2"/>
    <w:rsid w:val="007D0A7D"/>
    <w:rsid w:val="007D6841"/>
    <w:rsid w:val="007E41A0"/>
    <w:rsid w:val="007E68D8"/>
    <w:rsid w:val="007F3050"/>
    <w:rsid w:val="00805BE2"/>
    <w:rsid w:val="00822C1B"/>
    <w:rsid w:val="008249B0"/>
    <w:rsid w:val="00833E0E"/>
    <w:rsid w:val="00843069"/>
    <w:rsid w:val="008523A0"/>
    <w:rsid w:val="00854FF0"/>
    <w:rsid w:val="00862EBB"/>
    <w:rsid w:val="008663C9"/>
    <w:rsid w:val="00876A79"/>
    <w:rsid w:val="008903EF"/>
    <w:rsid w:val="00894198"/>
    <w:rsid w:val="00895802"/>
    <w:rsid w:val="008A0F03"/>
    <w:rsid w:val="008A7F47"/>
    <w:rsid w:val="008B0052"/>
    <w:rsid w:val="008B68AD"/>
    <w:rsid w:val="008E4535"/>
    <w:rsid w:val="008F38C2"/>
    <w:rsid w:val="009007B5"/>
    <w:rsid w:val="0091662F"/>
    <w:rsid w:val="00931454"/>
    <w:rsid w:val="00932368"/>
    <w:rsid w:val="00933386"/>
    <w:rsid w:val="00947B94"/>
    <w:rsid w:val="00952881"/>
    <w:rsid w:val="009551E6"/>
    <w:rsid w:val="00966B6F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D033B"/>
    <w:rsid w:val="009F20A7"/>
    <w:rsid w:val="009F490D"/>
    <w:rsid w:val="009F55C0"/>
    <w:rsid w:val="009F622E"/>
    <w:rsid w:val="00A04848"/>
    <w:rsid w:val="00A2368B"/>
    <w:rsid w:val="00A307BD"/>
    <w:rsid w:val="00A36980"/>
    <w:rsid w:val="00A51F79"/>
    <w:rsid w:val="00A520BA"/>
    <w:rsid w:val="00A641A2"/>
    <w:rsid w:val="00A66416"/>
    <w:rsid w:val="00A70424"/>
    <w:rsid w:val="00A736D0"/>
    <w:rsid w:val="00A75CAB"/>
    <w:rsid w:val="00A849BE"/>
    <w:rsid w:val="00A95DD6"/>
    <w:rsid w:val="00AA215C"/>
    <w:rsid w:val="00AA23A9"/>
    <w:rsid w:val="00AB38F6"/>
    <w:rsid w:val="00AB5751"/>
    <w:rsid w:val="00AB619F"/>
    <w:rsid w:val="00AC04EB"/>
    <w:rsid w:val="00AC6C3F"/>
    <w:rsid w:val="00AD10C4"/>
    <w:rsid w:val="00AD2211"/>
    <w:rsid w:val="00AE6577"/>
    <w:rsid w:val="00AF750A"/>
    <w:rsid w:val="00B063A4"/>
    <w:rsid w:val="00B11259"/>
    <w:rsid w:val="00B134A4"/>
    <w:rsid w:val="00B1776F"/>
    <w:rsid w:val="00B27779"/>
    <w:rsid w:val="00B4347F"/>
    <w:rsid w:val="00B51077"/>
    <w:rsid w:val="00B64845"/>
    <w:rsid w:val="00B6771D"/>
    <w:rsid w:val="00B7053F"/>
    <w:rsid w:val="00B8444D"/>
    <w:rsid w:val="00B907F8"/>
    <w:rsid w:val="00B97B05"/>
    <w:rsid w:val="00BB2A9A"/>
    <w:rsid w:val="00BC4F78"/>
    <w:rsid w:val="00BC7344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3E12"/>
    <w:rsid w:val="00C203E5"/>
    <w:rsid w:val="00C26646"/>
    <w:rsid w:val="00C40FEE"/>
    <w:rsid w:val="00C42809"/>
    <w:rsid w:val="00C436A1"/>
    <w:rsid w:val="00C45B98"/>
    <w:rsid w:val="00C47D56"/>
    <w:rsid w:val="00C52615"/>
    <w:rsid w:val="00C817B8"/>
    <w:rsid w:val="00C82DAB"/>
    <w:rsid w:val="00C95175"/>
    <w:rsid w:val="00CB2271"/>
    <w:rsid w:val="00CB3EA7"/>
    <w:rsid w:val="00CE1F6E"/>
    <w:rsid w:val="00CE532F"/>
    <w:rsid w:val="00CE54D7"/>
    <w:rsid w:val="00CF3D4C"/>
    <w:rsid w:val="00CF57E9"/>
    <w:rsid w:val="00CF787A"/>
    <w:rsid w:val="00D052E3"/>
    <w:rsid w:val="00D10243"/>
    <w:rsid w:val="00D14810"/>
    <w:rsid w:val="00D26418"/>
    <w:rsid w:val="00D31474"/>
    <w:rsid w:val="00D44B9E"/>
    <w:rsid w:val="00D55735"/>
    <w:rsid w:val="00D624D3"/>
    <w:rsid w:val="00D67310"/>
    <w:rsid w:val="00D7711C"/>
    <w:rsid w:val="00D8689A"/>
    <w:rsid w:val="00D91585"/>
    <w:rsid w:val="00DA742E"/>
    <w:rsid w:val="00DB3B46"/>
    <w:rsid w:val="00DB40AA"/>
    <w:rsid w:val="00DC0492"/>
    <w:rsid w:val="00DC2A2B"/>
    <w:rsid w:val="00DD1B6C"/>
    <w:rsid w:val="00DD7BF0"/>
    <w:rsid w:val="00DF2C46"/>
    <w:rsid w:val="00DF2D18"/>
    <w:rsid w:val="00E03C87"/>
    <w:rsid w:val="00E07879"/>
    <w:rsid w:val="00E11E1A"/>
    <w:rsid w:val="00E14A85"/>
    <w:rsid w:val="00E16572"/>
    <w:rsid w:val="00E25B91"/>
    <w:rsid w:val="00E3021D"/>
    <w:rsid w:val="00E35957"/>
    <w:rsid w:val="00E374CF"/>
    <w:rsid w:val="00E47000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E047E"/>
    <w:rsid w:val="00EE25CF"/>
    <w:rsid w:val="00EF06F3"/>
    <w:rsid w:val="00EF2C39"/>
    <w:rsid w:val="00F02A28"/>
    <w:rsid w:val="00F12904"/>
    <w:rsid w:val="00F1418D"/>
    <w:rsid w:val="00F16A7F"/>
    <w:rsid w:val="00F20C42"/>
    <w:rsid w:val="00F36A4D"/>
    <w:rsid w:val="00F4081B"/>
    <w:rsid w:val="00F44CDF"/>
    <w:rsid w:val="00F64F8A"/>
    <w:rsid w:val="00F65016"/>
    <w:rsid w:val="00F6615C"/>
    <w:rsid w:val="00F720D9"/>
    <w:rsid w:val="00F7522F"/>
    <w:rsid w:val="00F756A8"/>
    <w:rsid w:val="00F77A8D"/>
    <w:rsid w:val="00F83413"/>
    <w:rsid w:val="00F8453E"/>
    <w:rsid w:val="00F86F67"/>
    <w:rsid w:val="00F91375"/>
    <w:rsid w:val="00FA0455"/>
    <w:rsid w:val="00FA07F9"/>
    <w:rsid w:val="00FA1156"/>
    <w:rsid w:val="00FA641F"/>
    <w:rsid w:val="00FA675C"/>
    <w:rsid w:val="00FA70FF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6CEE-0091-4178-A359-E913512E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2</cp:revision>
  <cp:lastPrinted>2011-06-02T14:54:00Z</cp:lastPrinted>
  <dcterms:created xsi:type="dcterms:W3CDTF">2017-04-24T07:31:00Z</dcterms:created>
  <dcterms:modified xsi:type="dcterms:W3CDTF">2017-04-24T07:31:00Z</dcterms:modified>
</cp:coreProperties>
</file>