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C0133A">
      <w:r w:rsidRPr="00F6615C"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BB47F1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BB47F1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745F5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Pune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745F51">
        <w:rPr>
          <w:b/>
          <w:bCs/>
          <w:color w:val="0000FF"/>
          <w:sz w:val="24"/>
          <w:szCs w:val="24"/>
        </w:rPr>
        <w:t>24.10</w:t>
      </w:r>
      <w:r w:rsidR="00F07598">
        <w:rPr>
          <w:b/>
          <w:bCs/>
          <w:color w:val="0000FF"/>
          <w:sz w:val="24"/>
          <w:szCs w:val="24"/>
        </w:rPr>
        <w:t>.2014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F07598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745F51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745F51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51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8D2859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F0759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F07598">
              <w:rPr>
                <w:b/>
                <w:bCs/>
                <w:color w:val="0000FF"/>
                <w:sz w:val="22"/>
                <w:szCs w:val="22"/>
              </w:rPr>
              <w:t>590 070 –likal -280,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B681C" w:rsidRPr="001B681C" w:rsidRDefault="00745F51" w:rsidP="001B681C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Zgjerimi i ngrohjes dhe sistemi i gypave</w:t>
            </w:r>
          </w:p>
          <w:p w:rsidR="00F41B47" w:rsidRPr="00DA742E" w:rsidRDefault="00F41B4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745F51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745F51" w:rsidRDefault="00745F51" w:rsidP="00AC6C3F">
            <w:pPr>
              <w:rPr>
                <w:b/>
                <w:bCs/>
                <w:sz w:val="24"/>
                <w:szCs w:val="24"/>
              </w:rPr>
            </w:pPr>
            <w:r w:rsidRPr="00745F5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F5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45F51">
              <w:rPr>
                <w:b/>
                <w:bCs/>
                <w:sz w:val="24"/>
                <w:szCs w:val="24"/>
              </w:rPr>
            </w:r>
            <w:r w:rsidRPr="00745F51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E40877" w:rsidRPr="00745F51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745F51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745F51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(lizing)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0659C9" w:rsidRPr="00D2123E" w:rsidRDefault="000659C9" w:rsidP="00AC6C3F">
            <w:pPr>
              <w:rPr>
                <w:sz w:val="24"/>
                <w:szCs w:val="24"/>
              </w:rPr>
            </w:pPr>
          </w:p>
          <w:p w:rsidR="00E40877" w:rsidRPr="00D2123E" w:rsidRDefault="000659C9" w:rsidP="00AC6C3F">
            <w:pPr>
              <w:rPr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745F51" w:rsidRPr="001B681C" w:rsidRDefault="00745F51" w:rsidP="00745F51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Zgjerimi i ngrohjes dhe sistemi i gypave</w:t>
            </w:r>
          </w:p>
          <w:p w:rsidR="00E40877" w:rsidRPr="00F41B47" w:rsidRDefault="00E40877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745F51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45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7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8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8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1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745F51">
              <w:rPr>
                <w:b/>
                <w:color w:val="3333FF"/>
                <w:sz w:val="24"/>
                <w:szCs w:val="24"/>
              </w:rPr>
              <w:t>03.09</w:t>
            </w:r>
            <w:r w:rsidR="00F07598">
              <w:rPr>
                <w:b/>
                <w:color w:val="3333FF"/>
                <w:sz w:val="24"/>
                <w:szCs w:val="24"/>
              </w:rPr>
              <w:t>.2014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F07598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745F51">
              <w:rPr>
                <w:b/>
                <w:bCs/>
                <w:color w:val="0000FF"/>
                <w:sz w:val="24"/>
                <w:szCs w:val="24"/>
              </w:rPr>
              <w:t>24.10</w:t>
            </w:r>
            <w:r w:rsidR="00F07598">
              <w:rPr>
                <w:b/>
                <w:bCs/>
                <w:color w:val="0000FF"/>
                <w:sz w:val="24"/>
                <w:szCs w:val="24"/>
              </w:rPr>
              <w:t>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812E9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745F51">
              <w:rPr>
                <w:b/>
                <w:bCs/>
                <w:color w:val="0000FF"/>
                <w:sz w:val="24"/>
                <w:szCs w:val="24"/>
              </w:rPr>
              <w:t>06</w:t>
            </w:r>
            <w:r w:rsidR="00BB47F1">
              <w:rPr>
                <w:b/>
                <w:bCs/>
                <w:color w:val="0000FF"/>
                <w:sz w:val="24"/>
                <w:szCs w:val="24"/>
              </w:rPr>
              <w:t>.11</w:t>
            </w:r>
            <w:bookmarkStart w:id="24" w:name="_GoBack"/>
            <w:bookmarkEnd w:id="24"/>
            <w:r w:rsidR="00812E99">
              <w:rPr>
                <w:b/>
                <w:bCs/>
                <w:color w:val="0000FF"/>
                <w:sz w:val="24"/>
                <w:szCs w:val="24"/>
              </w:rPr>
              <w:t>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F0759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45F51">
              <w:rPr>
                <w:b/>
                <w:bCs/>
                <w:color w:val="0000FF"/>
                <w:sz w:val="24"/>
                <w:szCs w:val="24"/>
              </w:rPr>
              <w:t>3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(</w:t>
            </w:r>
            <w:r w:rsidR="00745F51">
              <w:rPr>
                <w:b/>
                <w:bCs/>
                <w:color w:val="0000FF"/>
                <w:sz w:val="24"/>
                <w:szCs w:val="24"/>
              </w:rPr>
              <w:t>tre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AC6C3F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745F51">
              <w:rPr>
                <w:b/>
                <w:bCs/>
                <w:iCs/>
                <w:color w:val="0000FF"/>
                <w:sz w:val="22"/>
                <w:szCs w:val="22"/>
              </w:rPr>
              <w:t>“H&amp;B Consulting</w:t>
            </w:r>
            <w:r w:rsidR="003F27D3" w:rsidRPr="001B681C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”</w:t>
            </w:r>
            <w:r w:rsidR="00745F51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 xml:space="preserve"> Sh.p.k.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745F51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B681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Rr . </w:t>
            </w:r>
            <w:r w:rsidR="00745F51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Dardani BL.1 H.3 Nr.6 -Prishtine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745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5F51">
              <w:rPr>
                <w:b/>
                <w:bCs/>
                <w:i/>
                <w:iCs/>
                <w:color w:val="0000FF"/>
                <w:sz w:val="22"/>
                <w:szCs w:val="22"/>
              </w:rPr>
              <w:t>Prishtine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5F51">
              <w:rPr>
                <w:b/>
                <w:bCs/>
                <w:i/>
                <w:iCs/>
                <w:color w:val="0000FF"/>
                <w:sz w:val="22"/>
                <w:szCs w:val="22"/>
              </w:rPr>
              <w:t>10</w:t>
            </w:r>
            <w:r w:rsidR="001B681C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745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45F51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Kosove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745F5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745F51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Gazmend Murati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7E393A">
              <w:rPr>
                <w:sz w:val="22"/>
                <w:szCs w:val="22"/>
              </w:rPr>
              <w:t>info@mobelland.net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745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745F51">
              <w:rPr>
                <w:rFonts w:ascii="Arial" w:hAnsi="Arial" w:cs="Arial"/>
                <w:b/>
                <w:bCs/>
                <w:color w:val="0000FF"/>
              </w:rPr>
              <w:t>200,000.00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E60071"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745F51">
              <w:rPr>
                <w:bCs/>
                <w:color w:val="0000FF"/>
                <w:sz w:val="24"/>
                <w:szCs w:val="24"/>
              </w:rPr>
              <w:t>1</w:t>
            </w:r>
            <w:r w:rsidR="001B681C"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745F51">
              <w:rPr>
                <w:rFonts w:ascii="Arial" w:hAnsi="Arial" w:cs="Arial"/>
                <w:b/>
                <w:bCs/>
                <w:color w:val="0000FF"/>
              </w:rPr>
              <w:t>114,503.00</w:t>
            </w:r>
            <w:r w:rsidR="001B681C" w:rsidRPr="001B681C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EB2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745F51">
              <w:rPr>
                <w:rFonts w:ascii="Arial" w:hAnsi="Arial" w:cs="Arial"/>
                <w:b/>
                <w:bCs/>
                <w:color w:val="0000FF"/>
              </w:rPr>
              <w:t>117,269</w:t>
            </w:r>
            <w:r w:rsidR="00EB2326">
              <w:rPr>
                <w:rFonts w:ascii="Arial" w:hAnsi="Arial" w:cs="Arial"/>
                <w:b/>
                <w:bCs/>
                <w:color w:val="0000FF"/>
              </w:rPr>
              <w:t>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98" w:rsidRDefault="00F07598">
      <w:r>
        <w:separator/>
      </w:r>
    </w:p>
  </w:endnote>
  <w:endnote w:type="continuationSeparator" w:id="0">
    <w:p w:rsidR="00F07598" w:rsidRDefault="00F0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98" w:rsidRDefault="00F0759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47F1">
      <w:rPr>
        <w:rStyle w:val="PageNumber"/>
        <w:noProof/>
      </w:rPr>
      <w:t>3</w:t>
    </w:r>
    <w:r>
      <w:rPr>
        <w:rStyle w:val="PageNumber"/>
      </w:rPr>
      <w:fldChar w:fldCharType="end"/>
    </w:r>
  </w:p>
  <w:p w:rsidR="00F07598" w:rsidRPr="00B6771D" w:rsidRDefault="00F0759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98" w:rsidRDefault="00F07598">
      <w:r>
        <w:separator/>
      </w:r>
    </w:p>
  </w:footnote>
  <w:footnote w:type="continuationSeparator" w:id="0">
    <w:p w:rsidR="00F07598" w:rsidRDefault="00F07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98" w:rsidRDefault="00F0759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59C9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B681C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5F51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3F67"/>
    <w:rsid w:val="007D6841"/>
    <w:rsid w:val="007E393A"/>
    <w:rsid w:val="007E41A0"/>
    <w:rsid w:val="007E68D8"/>
    <w:rsid w:val="007F3050"/>
    <w:rsid w:val="00812E99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2859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529D7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B47F1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0133A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2326"/>
    <w:rsid w:val="00EB5FFD"/>
    <w:rsid w:val="00ED3039"/>
    <w:rsid w:val="00ED46E0"/>
    <w:rsid w:val="00ED562C"/>
    <w:rsid w:val="00ED6801"/>
    <w:rsid w:val="00EE25CF"/>
    <w:rsid w:val="00EF06F3"/>
    <w:rsid w:val="00F06AC7"/>
    <w:rsid w:val="00F07598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 Beqiri</cp:lastModifiedBy>
  <cp:revision>24</cp:revision>
  <cp:lastPrinted>2011-06-02T14:54:00Z</cp:lastPrinted>
  <dcterms:created xsi:type="dcterms:W3CDTF">2012-03-08T12:45:00Z</dcterms:created>
  <dcterms:modified xsi:type="dcterms:W3CDTF">2014-10-24T08:34:00Z</dcterms:modified>
</cp:coreProperties>
</file>